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_GBK" w:eastAsia="方正黑体_GBK"/>
          <w:sz w:val="32"/>
          <w:szCs w:val="32"/>
        </w:rPr>
      </w:pPr>
      <w:r>
        <w:rPr>
          <w:rFonts w:hint="eastAsia" w:ascii="方正黑体_GBK" w:eastAsia="方正黑体_GBK"/>
          <w:sz w:val="32"/>
          <w:szCs w:val="32"/>
        </w:rPr>
        <w:t>曲靖市沾益区关于公开举借债务情况说明</w:t>
      </w:r>
    </w:p>
    <w:p>
      <w:pPr>
        <w:ind w:firstLine="320" w:firstLineChars="100"/>
        <w:rPr>
          <w:rFonts w:hint="eastAsia"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2017年7月14日至15日召开的全国金融工作会议、7月24日召开的中共中央政治局会议、7月28日召开的国务院常务会议等三次不同领域的最高规格会议均专门点名提及地方政府债务，并对控制地方债务、防范风险问题作出了明确的部署。习近平总书记在全国金融工作会议会议上强调金融安全，提出要设立国务院金融稳定发展委员会。防止发生系统性金融风险是金融工作的永恒主题。各级地方党委和政府要树立正确政绩观，严控地方政府债务增量，终身问责，倒查责任。</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共中央办公厅印发了《关于人大预算审查监督重点向支出预算和政策拓展的指导意见》，并发出通知，要求各地区各部门结合实际认真贯彻落实。《指导意见》提出“积极稳妥化解累积的地方政府债务风险，坚决遏制隐性债务增量，决不允许新增各类隐性债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曲靖市沾益区财政局严格贯彻落实中央、省、市有关方针政策及政府性债务管理的重要决策部署，</w:t>
      </w:r>
      <w:r>
        <w:rPr>
          <w:rFonts w:hint="eastAsia" w:ascii="Times New Roman" w:hAnsi="Times New Roman" w:eastAsia="方正仿宋_GBK" w:cs="Times New Roman"/>
          <w:sz w:val="32"/>
          <w:szCs w:val="32"/>
          <w:lang w:val="en-US" w:eastAsia="zh-CN"/>
        </w:rPr>
        <w:t>截至2024年末，</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全区地方政府债务限额为</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90.76</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亿元，其中：一般债务限额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36.28</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亿元、专项债务限额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54.48</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地方政府债务余额</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90.15</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其中：一般债务</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余</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35.74</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亿元、专项债务</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余</w:t>
      </w:r>
      <w:r>
        <w:rPr>
          <w:rStyle w:val="4"/>
          <w:rFonts w:hint="default" w:ascii="Times New Roman" w:hAnsi="Times New Roman" w:eastAsia="方正仿宋_GBK" w:cs="Times New Roman"/>
          <w:b w:val="0"/>
          <w:i w:val="0"/>
          <w:caps w:val="0"/>
          <w:color w:val="000000"/>
          <w:spacing w:val="0"/>
          <w:w w:val="100"/>
          <w:kern w:val="2"/>
          <w:sz w:val="32"/>
          <w:szCs w:val="32"/>
          <w:highlight w:val="none"/>
          <w:lang w:val="en-US" w:eastAsia="zh-CN" w:bidi="ar-SA"/>
        </w:rPr>
        <w:t>额</w:t>
      </w:r>
      <w:r>
        <w:rPr>
          <w:rStyle w:val="4"/>
          <w:rFonts w:hint="eastAsia" w:ascii="Times New Roman" w:hAnsi="Times New Roman" w:eastAsia="方正仿宋_GBK" w:cs="Times New Roman"/>
          <w:b w:val="0"/>
          <w:i w:val="0"/>
          <w:caps w:val="0"/>
          <w:color w:val="000000"/>
          <w:spacing w:val="0"/>
          <w:w w:val="100"/>
          <w:kern w:val="2"/>
          <w:sz w:val="32"/>
          <w:szCs w:val="32"/>
          <w:highlight w:val="none"/>
          <w:lang w:val="en-US" w:eastAsia="zh-CN" w:bidi="ar-SA"/>
        </w:rPr>
        <w:t>54.41</w:t>
      </w:r>
      <w:r>
        <w:rPr>
          <w:rStyle w:val="4"/>
          <w:rFonts w:hint="default" w:ascii="Times New Roman" w:hAnsi="Times New Roman" w:eastAsia="方正仿宋_GBK" w:cs="Times New Roman"/>
          <w:b w:val="0"/>
          <w:i w:val="0"/>
          <w:caps w:val="0"/>
          <w:color w:val="auto"/>
          <w:spacing w:val="0"/>
          <w:w w:val="100"/>
          <w:kern w:val="2"/>
          <w:sz w:val="32"/>
          <w:szCs w:val="32"/>
          <w:highlight w:val="none"/>
          <w:lang w:val="en-US" w:eastAsia="zh-CN" w:bidi="ar-SA"/>
        </w:rPr>
        <w:t>亿元</w:t>
      </w:r>
      <w:r>
        <w:rPr>
          <w:rStyle w:val="4"/>
          <w:rFonts w:hint="eastAsia" w:ascii="Times New Roman" w:hAnsi="Times New Roman" w:eastAsia="方正仿宋_GBK" w:cs="Times New Roman"/>
          <w:b w:val="0"/>
          <w:i w:val="0"/>
          <w:caps w:val="0"/>
          <w:color w:val="auto"/>
          <w:spacing w:val="0"/>
          <w:w w:val="100"/>
          <w:kern w:val="2"/>
          <w:sz w:val="32"/>
          <w:szCs w:val="32"/>
          <w:highlight w:val="none"/>
          <w:lang w:val="en-US" w:eastAsia="zh-CN"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YWFjMmY2NGE5ZGMxMjJhYmExMzBmZTk4MTNlMjQifQ=="/>
  </w:docVars>
  <w:rsids>
    <w:rsidRoot w:val="00D24DF1"/>
    <w:rsid w:val="00A424CD"/>
    <w:rsid w:val="00D24DF1"/>
    <w:rsid w:val="0DF74995"/>
    <w:rsid w:val="1FC5505E"/>
    <w:rsid w:val="3D754C41"/>
    <w:rsid w:val="47C0698C"/>
    <w:rsid w:val="4F364FE9"/>
    <w:rsid w:val="7383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352</Characters>
  <Lines>2</Lines>
  <Paragraphs>1</Paragraphs>
  <TotalTime>5</TotalTime>
  <ScaleCrop>false</ScaleCrop>
  <LinksUpToDate>false</LinksUpToDate>
  <CharactersWithSpaces>412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2020-07-27T01:22:00Z</dcterms:created>
  <dc:creator>czj</dc:creator>
  <cp:lastModifiedBy>常凡</cp:lastModifiedBy>
  <dcterms:modified xsi:type="dcterms:W3CDTF">2025-01-26T05:27:45Z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D75C0905184749D0B09A0AD5C075BC95</vt:lpwstr>
  </property>
</Properties>
</file>