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沾益区云南省第二轮生态环境保护督察群众投诉举报受理情况公开表</w:t>
      </w: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第十三批 2023年8月20日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584"/>
        <w:gridCol w:w="7110"/>
        <w:gridCol w:w="1320"/>
        <w:gridCol w:w="150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序号</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受理编号</w:t>
            </w:r>
          </w:p>
        </w:tc>
        <w:tc>
          <w:tcPr>
            <w:tcW w:w="71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交办问题基本情况</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污染类型</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牵头单位</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i w:val="0"/>
                <w:iCs w:val="0"/>
                <w:color w:val="000000"/>
                <w:kern w:val="0"/>
                <w:sz w:val="32"/>
                <w:szCs w:val="32"/>
                <w:u w:val="none"/>
                <w:lang w:val="en-US" w:eastAsia="zh-CN" w:bidi="ar"/>
              </w:rPr>
              <w:t>D53030020230820009</w:t>
            </w:r>
          </w:p>
        </w:tc>
        <w:tc>
          <w:tcPr>
            <w:tcW w:w="71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沾益区第四中学球场旁学生宿舍，晚上到半夜持续闻到臭味，来源不明。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大气</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区教体局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区住建局、龙华街道办事处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color w:val="auto"/>
                <w:sz w:val="32"/>
                <w:szCs w:val="32"/>
                <w:lang w:val="en-US" w:eastAsia="zh-CN"/>
              </w:rPr>
              <w:t>X53030020230820003</w:t>
            </w:r>
          </w:p>
        </w:tc>
        <w:tc>
          <w:tcPr>
            <w:tcW w:w="711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沾益区海峰湿地（省级自然保护区）：1.在湿地核心区大面积挖土地、建设施、种植外来植物，湿地周边有乱砍滥伐、破坏草甸植被、圈地自用、私搭乱建设施等行为，湿地核心区湖中常年有网捕、电触鱼虾行为，累计捕</w:t>
            </w:r>
            <w:bookmarkStart w:id="0" w:name="_GoBack"/>
            <w:bookmarkEnd w:id="0"/>
            <w:r>
              <w:rPr>
                <w:rFonts w:hint="default" w:ascii="Times New Roman" w:hAnsi="Times New Roman" w:eastAsia="方正仿宋_GBK" w:cs="Times New Roman"/>
                <w:sz w:val="32"/>
                <w:szCs w:val="32"/>
                <w:lang w:val="en-US" w:eastAsia="zh-CN"/>
              </w:rPr>
              <w:t>获鱼虾达几十吨，以上情况破坏湿地生态系统；2.湿地核心区长期存在酿酒坊、多家农家乐，提供餐饮住宿服务，承办近百桌的酒席和接待旅游团，产生的垃圾和污水未经处理直排进入湿地湖中；3.湿地核心区湖边养殖猪、牛、马、羊、鸡、鸭、鹅等，养殖牲畜直接进入湿地核心区，产生的粪污直排进入湿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生态破坏、水、固废</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color w:val="auto"/>
                <w:sz w:val="32"/>
                <w:szCs w:val="32"/>
                <w:lang w:val="en-US" w:eastAsia="zh-CN"/>
              </w:rPr>
              <w:t>沾益海峰省级自然保护区管护局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32"/>
                <w:szCs w:val="32"/>
                <w:lang w:val="en-US" w:eastAsia="zh-CN"/>
              </w:rPr>
              <w:t>区林草局、区农业农村局、区市场监督管理局、区文旅局、区自然资源局、区森林公安分局、大坡乡人民政府</w:t>
            </w:r>
          </w:p>
        </w:tc>
      </w:tr>
    </w:tbl>
    <w:p/>
    <w:sectPr>
      <w:pgSz w:w="16838" w:h="11906" w:orient="landscape"/>
      <w:pgMar w:top="1293" w:right="1213" w:bottom="1800"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pStyle w:val="2"/>
      <w:suff w:val="nothing"/>
      <w:lvlText w:val="（%1）"/>
      <w:lvlJc w:val="left"/>
      <w:pPr>
        <w:ind w:left="63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C68DC"/>
    <w:rsid w:val="4B7C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val="0"/>
      <w:keepLines w:val="0"/>
      <w:numPr>
        <w:ilvl w:val="0"/>
        <w:numId w:val="1"/>
      </w:numPr>
      <w:spacing w:beforeLines="0" w:beforeAutospacing="0" w:afterLines="0" w:afterAutospacing="0" w:line="560" w:lineRule="exact"/>
      <w:ind w:firstLine="640"/>
      <w:outlineLvl w:val="1"/>
    </w:pPr>
    <w:rPr>
      <w:rFonts w:ascii="方正楷体_GBK" w:hAnsi="方正楷体_GBK" w:eastAsia="方正楷体_GBK" w:cs="Times New Roma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2023-08-21T07:45:00Z</dcterms:created>
  <dc:creator>NTKO</dc:creator>
  <cp:lastModifiedBy>NTKO</cp:lastModifiedBy>
  <dcterms:modified xsi:type="dcterms:W3CDTF">2023-08-21T08:34:51Z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