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5214B">
      <w:pPr>
        <w:pStyle w:val="6"/>
        <w:widowControl/>
        <w:shd w:val="clear" w:color="auto" w:fill="FFFFFF"/>
        <w:spacing w:beforeAutospacing="0" w:afterAutospacing="0"/>
        <w:jc w:val="center"/>
        <w:rPr>
          <w:rFonts w:ascii="Times New Roman" w:hAnsi="Times New Roman" w:eastAsia="宋体"/>
          <w:color w:val="000000" w:themeColor="text1"/>
          <w:sz w:val="36"/>
          <w:szCs w:val="36"/>
          <w:shd w:val="clear" w:color="auto" w:fill="FFFFFF"/>
          <w14:textFill>
            <w14:solidFill>
              <w14:schemeClr w14:val="tx1"/>
            </w14:solidFill>
          </w14:textFill>
        </w:rPr>
      </w:pPr>
      <w:r>
        <w:rPr>
          <w:rFonts w:ascii="Times New Roman" w:hAnsi="Times New Roman" w:eastAsia="宋体"/>
          <w:color w:val="000000" w:themeColor="text1"/>
          <w:sz w:val="36"/>
          <w:szCs w:val="36"/>
          <w:shd w:val="clear" w:color="auto" w:fill="FFFFFF"/>
          <w14:textFill>
            <w14:solidFill>
              <w14:schemeClr w14:val="tx1"/>
            </w14:solidFill>
          </w14:textFill>
        </w:rPr>
        <w:t>曲靖市沾益区第二人民医院新建项目重大行政决策</w:t>
      </w:r>
    </w:p>
    <w:p w14:paraId="181D2A8F">
      <w:pPr>
        <w:pStyle w:val="6"/>
        <w:widowControl/>
        <w:shd w:val="clear" w:color="auto" w:fill="FFFFFF"/>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6"/>
          <w:szCs w:val="36"/>
          <w:shd w:val="clear" w:color="auto" w:fill="FFFFFF"/>
          <w14:textFill>
            <w14:solidFill>
              <w14:schemeClr w14:val="tx1"/>
            </w14:solidFill>
          </w14:textFill>
        </w:rPr>
        <w:t>实施情况后评估</w:t>
      </w:r>
    </w:p>
    <w:p w14:paraId="54476548">
      <w:pPr>
        <w:pStyle w:val="6"/>
        <w:widowControl/>
        <w:shd w:val="clear" w:color="auto" w:fill="FFFFFF"/>
        <w:spacing w:beforeAutospacing="0" w:afterAutospacing="0"/>
        <w:jc w:val="center"/>
        <w:rPr>
          <w:rFonts w:ascii="Times New Roman" w:hAnsi="Times New Roman" w:eastAsia="微软雅黑"/>
          <w:color w:val="000000" w:themeColor="text1"/>
          <w:sz w:val="21"/>
          <w:szCs w:val="21"/>
          <w:shd w:val="clear" w:color="auto" w:fill="FFFFFF"/>
          <w14:textFill>
            <w14:solidFill>
              <w14:schemeClr w14:val="tx1"/>
            </w14:solidFill>
          </w14:textFill>
        </w:rPr>
      </w:pPr>
      <w:r>
        <w:rPr>
          <w:rFonts w:ascii="Times New Roman" w:hAnsi="Times New Roman" w:eastAsia="微软雅黑"/>
          <w:color w:val="000000" w:themeColor="text1"/>
          <w:sz w:val="21"/>
          <w:szCs w:val="21"/>
          <w:shd w:val="clear" w:color="auto" w:fill="FFFFFF"/>
          <w14:textFill>
            <w14:solidFill>
              <w14:schemeClr w14:val="tx1"/>
            </w14:solidFill>
          </w14:textFill>
        </w:rPr>
        <w:t> </w:t>
      </w:r>
    </w:p>
    <w:p w14:paraId="308BDB7A">
      <w:pPr>
        <w:pStyle w:val="6"/>
        <w:widowControl/>
        <w:shd w:val="clear" w:color="auto" w:fill="FFFFFF"/>
        <w:spacing w:beforeAutospacing="0" w:afterAutospacing="0"/>
        <w:jc w:val="center"/>
        <w:rPr>
          <w:rFonts w:ascii="Times New Roman" w:hAnsi="Times New Roman" w:eastAsia="微软雅黑"/>
          <w:color w:val="000000" w:themeColor="text1"/>
          <w:sz w:val="21"/>
          <w:szCs w:val="21"/>
          <w:shd w:val="clear" w:color="auto" w:fill="FFFFFF"/>
          <w14:textFill>
            <w14:solidFill>
              <w14:schemeClr w14:val="tx1"/>
            </w14:solidFill>
          </w14:textFill>
        </w:rPr>
      </w:pPr>
    </w:p>
    <w:p w14:paraId="2C6A8A2F">
      <w:pPr>
        <w:pStyle w:val="6"/>
        <w:widowControl/>
        <w:shd w:val="clear" w:color="auto" w:fill="FFFFFF"/>
        <w:spacing w:beforeAutospacing="0" w:afterAutospacing="0"/>
        <w:jc w:val="center"/>
        <w:rPr>
          <w:rFonts w:ascii="Times New Roman" w:hAnsi="Times New Roman" w:eastAsia="微软雅黑"/>
          <w:color w:val="000000" w:themeColor="text1"/>
          <w:sz w:val="21"/>
          <w:szCs w:val="21"/>
          <w:shd w:val="clear" w:color="auto" w:fill="FFFFFF"/>
          <w14:textFill>
            <w14:solidFill>
              <w14:schemeClr w14:val="tx1"/>
            </w14:solidFill>
          </w14:textFill>
        </w:rPr>
      </w:pPr>
    </w:p>
    <w:p w14:paraId="4FEC7250">
      <w:pPr>
        <w:pStyle w:val="6"/>
        <w:widowControl/>
        <w:shd w:val="clear" w:color="auto" w:fill="FFFFFF"/>
        <w:spacing w:beforeAutospacing="0" w:afterAutospacing="0"/>
        <w:jc w:val="center"/>
        <w:rPr>
          <w:rFonts w:ascii="Times New Roman" w:hAnsi="Times New Roman" w:eastAsia="微软雅黑"/>
          <w:color w:val="000000" w:themeColor="text1"/>
          <w:sz w:val="21"/>
          <w:szCs w:val="21"/>
          <w:shd w:val="clear" w:color="auto" w:fill="FFFFFF"/>
          <w14:textFill>
            <w14:solidFill>
              <w14:schemeClr w14:val="tx1"/>
            </w14:solidFill>
          </w14:textFill>
        </w:rPr>
      </w:pPr>
    </w:p>
    <w:p w14:paraId="2A3190CB">
      <w:pPr>
        <w:pStyle w:val="6"/>
        <w:widowControl/>
        <w:shd w:val="clear" w:color="auto" w:fill="FFFFFF"/>
        <w:spacing w:beforeAutospacing="0" w:afterAutospacing="0"/>
        <w:jc w:val="center"/>
        <w:rPr>
          <w:rFonts w:ascii="Times New Roman" w:hAnsi="Times New Roman" w:eastAsia="微软雅黑"/>
          <w:color w:val="000000" w:themeColor="text1"/>
          <w:sz w:val="21"/>
          <w:szCs w:val="21"/>
          <w:shd w:val="clear" w:color="auto" w:fill="FFFFFF"/>
          <w14:textFill>
            <w14:solidFill>
              <w14:schemeClr w14:val="tx1"/>
            </w14:solidFill>
          </w14:textFill>
        </w:rPr>
      </w:pPr>
    </w:p>
    <w:p w14:paraId="3B02FBEE">
      <w:pPr>
        <w:pStyle w:val="6"/>
        <w:widowControl/>
        <w:shd w:val="clear" w:color="auto" w:fill="FFFFFF"/>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微软雅黑"/>
          <w:color w:val="000000" w:themeColor="text1"/>
          <w:sz w:val="21"/>
          <w:szCs w:val="21"/>
          <w:shd w:val="clear" w:color="auto" w:fill="FFFFFF"/>
          <w14:textFill>
            <w14:solidFill>
              <w14:schemeClr w14:val="tx1"/>
            </w14:solidFill>
          </w14:textFill>
        </w:rPr>
        <w:t> </w:t>
      </w:r>
    </w:p>
    <w:p w14:paraId="4A12C802">
      <w:pPr>
        <w:pStyle w:val="6"/>
        <w:widowControl/>
        <w:shd w:val="clear" w:color="auto" w:fill="FFFFFF"/>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96"/>
          <w:szCs w:val="96"/>
          <w:shd w:val="clear" w:color="auto" w:fill="FFFFFF"/>
          <w14:textFill>
            <w14:solidFill>
              <w14:schemeClr w14:val="tx1"/>
            </w14:solidFill>
          </w14:textFill>
        </w:rPr>
        <w:t>评估报告</w:t>
      </w:r>
    </w:p>
    <w:p w14:paraId="45DB3B01">
      <w:pPr>
        <w:pStyle w:val="6"/>
        <w:widowControl/>
        <w:shd w:val="clear" w:color="auto" w:fill="FFFFFF"/>
        <w:spacing w:beforeAutospacing="0" w:afterAutospacing="0"/>
        <w:jc w:val="both"/>
        <w:rPr>
          <w:rFonts w:hint="eastAsia" w:ascii="Times New Roman" w:hAnsi="Times New Roman" w:eastAsia="微软雅黑"/>
          <w:color w:val="000000" w:themeColor="text1"/>
          <w:sz w:val="96"/>
          <w:szCs w:val="96"/>
          <w:shd w:val="clear" w:color="auto" w:fill="FFFFFF"/>
          <w14:textFill>
            <w14:solidFill>
              <w14:schemeClr w14:val="tx1"/>
            </w14:solidFill>
          </w14:textFill>
        </w:rPr>
      </w:pPr>
      <w:r>
        <w:rPr>
          <w:rFonts w:ascii="Times New Roman" w:hAnsi="Times New Roman" w:eastAsia="微软雅黑"/>
          <w:color w:val="000000" w:themeColor="text1"/>
          <w:sz w:val="96"/>
          <w:szCs w:val="96"/>
          <w:shd w:val="clear" w:color="auto" w:fill="FFFFFF"/>
          <w14:textFill>
            <w14:solidFill>
              <w14:schemeClr w14:val="tx1"/>
            </w14:solidFill>
          </w14:textFill>
        </w:rPr>
        <w:t> </w:t>
      </w:r>
    </w:p>
    <w:p w14:paraId="143FBC44">
      <w:pPr>
        <w:pStyle w:val="6"/>
        <w:widowControl/>
        <w:shd w:val="clear" w:color="auto" w:fill="FFFFFF"/>
        <w:spacing w:beforeAutospacing="0" w:afterAutospacing="0"/>
        <w:jc w:val="both"/>
        <w:rPr>
          <w:rFonts w:hint="eastAsia" w:ascii="Times New Roman" w:hAnsi="Times New Roman" w:eastAsia="微软雅黑"/>
          <w:color w:val="000000" w:themeColor="text1"/>
          <w:sz w:val="96"/>
          <w:szCs w:val="96"/>
          <w:shd w:val="clear" w:color="auto" w:fill="FFFFFF"/>
          <w14:textFill>
            <w14:solidFill>
              <w14:schemeClr w14:val="tx1"/>
            </w14:solidFill>
          </w14:textFill>
        </w:rPr>
      </w:pPr>
    </w:p>
    <w:p w14:paraId="4C94DDD1">
      <w:pPr>
        <w:pStyle w:val="6"/>
        <w:widowControl/>
        <w:shd w:val="clear" w:color="auto" w:fill="FFFFFF"/>
        <w:spacing w:beforeAutospacing="0" w:afterAutospacing="0"/>
        <w:jc w:val="both"/>
        <w:rPr>
          <w:rFonts w:ascii="Times New Roman" w:hAnsi="Times New Roman" w:eastAsia="微软雅黑"/>
          <w:color w:val="000000" w:themeColor="text1"/>
          <w:sz w:val="96"/>
          <w:szCs w:val="96"/>
          <w:shd w:val="clear" w:color="auto" w:fill="FFFFFF"/>
          <w14:textFill>
            <w14:solidFill>
              <w14:schemeClr w14:val="tx1"/>
            </w14:solidFill>
          </w14:textFill>
        </w:rPr>
      </w:pPr>
    </w:p>
    <w:p w14:paraId="26983E90">
      <w:pPr>
        <w:pStyle w:val="6"/>
        <w:widowControl/>
        <w:shd w:val="clear" w:color="auto" w:fill="FFFFFF"/>
        <w:spacing w:beforeAutospacing="0" w:afterAutospacing="0"/>
        <w:jc w:val="both"/>
        <w:rPr>
          <w:rFonts w:ascii="Times New Roman" w:hAnsi="Times New Roman" w:eastAsia="微软雅黑"/>
          <w:color w:val="000000" w:themeColor="text1"/>
          <w:sz w:val="96"/>
          <w:szCs w:val="96"/>
          <w:shd w:val="clear" w:color="auto" w:fill="FFFFFF"/>
          <w14:textFill>
            <w14:solidFill>
              <w14:schemeClr w14:val="tx1"/>
            </w14:solidFill>
          </w14:textFill>
        </w:rPr>
      </w:pPr>
    </w:p>
    <w:p w14:paraId="5E1A091E">
      <w:pPr>
        <w:pStyle w:val="6"/>
        <w:widowControl/>
        <w:shd w:val="clear" w:color="auto" w:fill="FFFFFF"/>
        <w:spacing w:beforeAutospacing="0" w:afterAutospacing="0" w:line="585" w:lineRule="atLeast"/>
        <w:ind w:firstLine="645"/>
        <w:jc w:val="both"/>
        <w:rPr>
          <w:rFonts w:ascii="Times New Roman" w:hAnsi="Times New Roman" w:eastAsia="微软雅黑"/>
          <w:color w:val="000000" w:themeColor="text1"/>
          <w14:textFill>
            <w14:solidFill>
              <w14:schemeClr w14:val="tx1"/>
            </w14:solidFill>
          </w14:textFill>
        </w:rPr>
      </w:pPr>
      <w:r>
        <w:rPr>
          <w:rFonts w:ascii="Times New Roman" w:hAnsi="Times New Roman" w:eastAsia="黑体"/>
          <w:color w:val="000000" w:themeColor="text1"/>
          <w:sz w:val="31"/>
          <w:szCs w:val="31"/>
          <w:shd w:val="clear" w:color="auto" w:fill="FFFFFF"/>
          <w14:textFill>
            <w14:solidFill>
              <w14:schemeClr w14:val="tx1"/>
            </w14:solidFill>
          </w14:textFill>
        </w:rPr>
        <w:t>主管部门：曲靖市沾益区卫生健康局</w:t>
      </w:r>
    </w:p>
    <w:p w14:paraId="3E50BF20">
      <w:pPr>
        <w:pStyle w:val="6"/>
        <w:widowControl/>
        <w:shd w:val="clear" w:color="auto" w:fill="FFFFFF"/>
        <w:spacing w:beforeAutospacing="0" w:afterAutospacing="0" w:line="585" w:lineRule="atLeast"/>
        <w:ind w:firstLine="645"/>
        <w:jc w:val="both"/>
        <w:rPr>
          <w:rFonts w:ascii="Times New Roman" w:hAnsi="Times New Roman" w:eastAsia="黑体"/>
          <w:color w:val="000000" w:themeColor="text1"/>
          <w:sz w:val="31"/>
          <w:szCs w:val="31"/>
          <w:shd w:val="clear" w:color="auto" w:fill="FFFFFF"/>
          <w14:textFill>
            <w14:solidFill>
              <w14:schemeClr w14:val="tx1"/>
            </w14:solidFill>
          </w14:textFill>
        </w:rPr>
      </w:pPr>
    </w:p>
    <w:p w14:paraId="2402F5DF">
      <w:pPr>
        <w:pStyle w:val="6"/>
        <w:widowControl/>
        <w:shd w:val="clear" w:color="auto" w:fill="FFFFFF"/>
        <w:spacing w:beforeAutospacing="0" w:afterAutospacing="0" w:line="585" w:lineRule="atLeast"/>
        <w:ind w:firstLine="645"/>
        <w:jc w:val="both"/>
        <w:rPr>
          <w:rFonts w:ascii="Times New Roman" w:hAnsi="Times New Roman" w:eastAsia="黑体"/>
          <w:color w:val="000000" w:themeColor="text1"/>
          <w:sz w:val="31"/>
          <w:szCs w:val="31"/>
          <w:shd w:val="clear" w:color="auto" w:fill="FFFFFF"/>
          <w14:textFill>
            <w14:solidFill>
              <w14:schemeClr w14:val="tx1"/>
            </w14:solidFill>
          </w14:textFill>
        </w:rPr>
      </w:pPr>
      <w:r>
        <w:rPr>
          <w:rFonts w:ascii="Times New Roman" w:hAnsi="Times New Roman" w:eastAsia="黑体"/>
          <w:color w:val="000000" w:themeColor="text1"/>
          <w:sz w:val="31"/>
          <w:szCs w:val="31"/>
          <w:shd w:val="clear" w:color="auto" w:fill="FFFFFF"/>
          <w14:textFill>
            <w14:solidFill>
              <w14:schemeClr w14:val="tx1"/>
            </w14:solidFill>
          </w14:textFill>
        </w:rPr>
        <w:t>评估委托单位：曲靖市沾益区第二人民医院</w:t>
      </w:r>
    </w:p>
    <w:p w14:paraId="2F2AB96F">
      <w:pPr>
        <w:pStyle w:val="6"/>
        <w:widowControl/>
        <w:shd w:val="clear" w:color="auto" w:fill="FFFFFF"/>
        <w:spacing w:beforeAutospacing="0" w:afterAutospacing="0" w:line="585" w:lineRule="atLeast"/>
        <w:ind w:firstLine="645"/>
        <w:jc w:val="both"/>
        <w:rPr>
          <w:rFonts w:ascii="Times New Roman" w:hAnsi="Times New Roman" w:eastAsia="黑体"/>
          <w:color w:val="000000" w:themeColor="text1"/>
          <w:sz w:val="31"/>
          <w:szCs w:val="31"/>
          <w:shd w:val="clear" w:color="auto" w:fill="FFFFFF"/>
          <w14:textFill>
            <w14:solidFill>
              <w14:schemeClr w14:val="tx1"/>
            </w14:solidFill>
          </w14:textFill>
        </w:rPr>
      </w:pPr>
    </w:p>
    <w:p w14:paraId="71E8ECEA">
      <w:pPr>
        <w:pStyle w:val="6"/>
        <w:widowControl/>
        <w:shd w:val="clear" w:color="auto" w:fill="FFFFFF"/>
        <w:spacing w:beforeAutospacing="0" w:afterAutospacing="0" w:line="585" w:lineRule="atLeast"/>
        <w:ind w:firstLine="645"/>
        <w:jc w:val="both"/>
        <w:rPr>
          <w:rFonts w:ascii="Times New Roman" w:hAnsi="Times New Roman" w:eastAsia="黑体"/>
          <w:color w:val="000000" w:themeColor="text1"/>
          <w:sz w:val="31"/>
          <w:szCs w:val="31"/>
          <w:shd w:val="clear" w:color="auto" w:fill="FFFFFF"/>
          <w14:textFill>
            <w14:solidFill>
              <w14:schemeClr w14:val="tx1"/>
            </w14:solidFill>
          </w14:textFill>
        </w:rPr>
      </w:pPr>
      <w:r>
        <w:rPr>
          <w:rFonts w:ascii="Times New Roman" w:hAnsi="Times New Roman" w:eastAsia="黑体"/>
          <w:color w:val="000000" w:themeColor="text1"/>
          <w:sz w:val="31"/>
          <w:szCs w:val="31"/>
          <w:shd w:val="clear" w:color="auto" w:fill="FFFFFF"/>
          <w14:textFill>
            <w14:solidFill>
              <w14:schemeClr w14:val="tx1"/>
            </w14:solidFill>
          </w14:textFill>
        </w:rPr>
        <w:t>评估单位：云南爱尔信时代工程项目管理有限公司</w:t>
      </w:r>
    </w:p>
    <w:p w14:paraId="438AB3C9">
      <w:pPr>
        <w:pStyle w:val="6"/>
        <w:widowControl/>
        <w:shd w:val="clear" w:color="auto" w:fill="FFFFFF"/>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 </w:t>
      </w:r>
    </w:p>
    <w:p w14:paraId="51F70280">
      <w:pPr>
        <w:pStyle w:val="6"/>
        <w:widowControl/>
        <w:shd w:val="clear" w:color="auto" w:fill="FFFFFF"/>
        <w:spacing w:beforeAutospacing="0" w:afterAutospacing="0"/>
        <w:jc w:val="center"/>
        <w:rPr>
          <w:rFonts w:ascii="Times New Roman" w:hAnsi="Times New Roman" w:eastAsia="宋体"/>
          <w:color w:val="000000" w:themeColor="text1"/>
          <w:sz w:val="32"/>
          <w:szCs w:val="32"/>
          <w:shd w:val="clear" w:color="auto" w:fill="FFFFFF"/>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r>
        <w:rPr>
          <w:rFonts w:ascii="Times New Roman" w:hAnsi="Times New Roman" w:eastAsia="微软雅黑"/>
          <w:color w:val="000000" w:themeColor="text1"/>
          <w:sz w:val="32"/>
          <w:szCs w:val="32"/>
          <w:shd w:val="clear" w:color="auto" w:fill="FFFFFF"/>
          <w14:textFill>
            <w14:solidFill>
              <w14:schemeClr w14:val="tx1"/>
            </w14:solidFill>
          </w14:textFill>
        </w:rPr>
        <w:t>2023</w:t>
      </w:r>
      <w:r>
        <w:rPr>
          <w:rFonts w:ascii="Times New Roman" w:hAnsi="Times New Roman" w:eastAsia="宋体"/>
          <w:color w:val="000000" w:themeColor="text1"/>
          <w:sz w:val="32"/>
          <w:szCs w:val="32"/>
          <w:shd w:val="clear" w:color="auto" w:fill="FFFFFF"/>
          <w14:textFill>
            <w14:solidFill>
              <w14:schemeClr w14:val="tx1"/>
            </w14:solidFill>
          </w14:textFill>
        </w:rPr>
        <w:t>年11</w:t>
      </w:r>
      <w:r>
        <w:rPr>
          <w:rFonts w:ascii="Times New Roman" w:hAnsi="Times New Roman" w:eastAsia="微软雅黑"/>
          <w:color w:val="000000" w:themeColor="text1"/>
          <w:sz w:val="32"/>
          <w:szCs w:val="32"/>
          <w:shd w:val="clear" w:color="auto" w:fill="FFFFFF"/>
          <w14:textFill>
            <w14:solidFill>
              <w14:schemeClr w14:val="tx1"/>
            </w14:solidFill>
          </w14:textFill>
        </w:rPr>
        <w:t> </w:t>
      </w:r>
      <w:r>
        <w:rPr>
          <w:rFonts w:ascii="Times New Roman" w:hAnsi="Times New Roman" w:eastAsia="宋体"/>
          <w:color w:val="000000" w:themeColor="text1"/>
          <w:sz w:val="32"/>
          <w:szCs w:val="32"/>
          <w:shd w:val="clear" w:color="auto" w:fill="FFFFFF"/>
          <w14:textFill>
            <w14:solidFill>
              <w14:schemeClr w14:val="tx1"/>
            </w14:solidFill>
          </w14:textFill>
        </w:rPr>
        <w:t>月</w:t>
      </w:r>
    </w:p>
    <w:p w14:paraId="6D240328">
      <w:pPr>
        <w:pStyle w:val="6"/>
        <w:widowControl/>
        <w:shd w:val="clear" w:color="auto" w:fill="FFFFFF"/>
        <w:spacing w:beforeAutospacing="0" w:afterAutospacing="0"/>
        <w:jc w:val="center"/>
        <w:rPr>
          <w:rFonts w:ascii="Times New Roman" w:hAnsi="Times New Roman" w:eastAsia="宋体"/>
          <w:color w:val="000000" w:themeColor="text1"/>
          <w:sz w:val="32"/>
          <w:szCs w:val="32"/>
          <w:shd w:val="clear" w:color="auto" w:fill="FFFFFF"/>
          <w14:textFill>
            <w14:solidFill>
              <w14:schemeClr w14:val="tx1"/>
            </w14:solidFill>
          </w14:textFill>
        </w:rPr>
      </w:pPr>
    </w:p>
    <w:p w14:paraId="2371E450">
      <w:pPr>
        <w:jc w:val="center"/>
        <w:rPr>
          <w:rFonts w:ascii="Times New Roman" w:hAnsi="Times New Roman" w:eastAsia="黑体" w:cs="Times New Roman"/>
          <w:b/>
          <w:bCs/>
          <w:color w:val="000000" w:themeColor="text1"/>
          <w:sz w:val="44"/>
          <w:szCs w:val="44"/>
          <w14:textFill>
            <w14:solidFill>
              <w14:schemeClr w14:val="tx1"/>
            </w14:solidFill>
          </w14:textFill>
        </w:rPr>
      </w:pPr>
      <w:r>
        <w:rPr>
          <w:rFonts w:ascii="Times New Roman" w:hAnsi="Times New Roman" w:eastAsia="黑体" w:cs="Times New Roman"/>
          <w:b/>
          <w:bCs/>
          <w:color w:val="000000" w:themeColor="text1"/>
          <w:sz w:val="44"/>
          <w:szCs w:val="44"/>
          <w14:textFill>
            <w14:solidFill>
              <w14:schemeClr w14:val="tx1"/>
            </w14:solidFill>
          </w14:textFill>
        </w:rPr>
        <w:t>曲靖市沾益区第二人民医院新建项目</w:t>
      </w:r>
    </w:p>
    <w:p w14:paraId="055E9676">
      <w:pPr>
        <w:jc w:val="center"/>
        <w:rPr>
          <w:rFonts w:ascii="Times New Roman" w:hAnsi="Times New Roman" w:eastAsia="黑体" w:cs="Times New Roman"/>
          <w:b/>
          <w:bCs/>
          <w:color w:val="000000" w:themeColor="text1"/>
          <w:sz w:val="44"/>
          <w:szCs w:val="44"/>
          <w14:textFill>
            <w14:solidFill>
              <w14:schemeClr w14:val="tx1"/>
            </w14:solidFill>
          </w14:textFill>
        </w:rPr>
      </w:pPr>
      <w:r>
        <w:rPr>
          <w:rFonts w:ascii="Times New Roman" w:hAnsi="Times New Roman" w:eastAsia="黑体" w:cs="Times New Roman"/>
          <w:b/>
          <w:bCs/>
          <w:color w:val="000000" w:themeColor="text1"/>
          <w:sz w:val="44"/>
          <w:szCs w:val="44"/>
          <w14:textFill>
            <w14:solidFill>
              <w14:schemeClr w14:val="tx1"/>
            </w14:solidFill>
          </w14:textFill>
        </w:rPr>
        <w:t>重大行政决策实施情况后评估</w:t>
      </w:r>
    </w:p>
    <w:p w14:paraId="6AF47E28">
      <w:pPr>
        <w:rPr>
          <w:rFonts w:ascii="Times New Roman" w:hAnsi="Times New Roman" w:eastAsia="黑体" w:cs="Times New Roman"/>
          <w:b/>
          <w:bCs/>
          <w:color w:val="000000" w:themeColor="text1"/>
          <w:sz w:val="32"/>
          <w:szCs w:val="32"/>
          <w14:textFill>
            <w14:solidFill>
              <w14:schemeClr w14:val="tx1"/>
            </w14:solidFill>
          </w14:textFill>
        </w:rPr>
      </w:pPr>
    </w:p>
    <w:p w14:paraId="45BDA1D8">
      <w:pPr>
        <w:rPr>
          <w:rFonts w:ascii="Times New Roman" w:hAnsi="Times New Roman" w:eastAsia="黑体" w:cs="Times New Roman"/>
          <w:b/>
          <w:bCs/>
          <w:color w:val="000000" w:themeColor="text1"/>
          <w:sz w:val="32"/>
          <w:szCs w:val="32"/>
          <w14:textFill>
            <w14:solidFill>
              <w14:schemeClr w14:val="tx1"/>
            </w14:solidFill>
          </w14:textFill>
        </w:rPr>
      </w:pPr>
    </w:p>
    <w:p w14:paraId="29386594">
      <w:pPr>
        <w:rPr>
          <w:rFonts w:ascii="Times New Roman" w:hAnsi="Times New Roman" w:eastAsia="黑体" w:cs="Times New Roman"/>
          <w:b/>
          <w:bCs/>
          <w:color w:val="000000" w:themeColor="text1"/>
          <w:sz w:val="32"/>
          <w:szCs w:val="32"/>
          <w14:textFill>
            <w14:solidFill>
              <w14:schemeClr w14:val="tx1"/>
            </w14:solidFill>
          </w14:textFill>
        </w:rPr>
      </w:pPr>
    </w:p>
    <w:p w14:paraId="3B2825C2">
      <w:pPr>
        <w:rPr>
          <w:rFonts w:ascii="Times New Roman" w:hAnsi="Times New Roman" w:eastAsia="黑体" w:cs="Times New Roman"/>
          <w:b/>
          <w:bCs/>
          <w:color w:val="000000" w:themeColor="text1"/>
          <w:sz w:val="32"/>
          <w:szCs w:val="32"/>
          <w14:textFill>
            <w14:solidFill>
              <w14:schemeClr w14:val="tx1"/>
            </w14:solidFill>
          </w14:textFill>
        </w:rPr>
      </w:pPr>
    </w:p>
    <w:p w14:paraId="10AF97E9">
      <w:pPr>
        <w:rPr>
          <w:rFonts w:ascii="Times New Roman" w:hAnsi="Times New Roman" w:eastAsia="黑体" w:cs="Times New Roman"/>
          <w:b/>
          <w:bCs/>
          <w:color w:val="000000" w:themeColor="text1"/>
          <w:sz w:val="32"/>
          <w:szCs w:val="32"/>
          <w14:textFill>
            <w14:solidFill>
              <w14:schemeClr w14:val="tx1"/>
            </w14:solidFill>
          </w14:textFill>
        </w:rPr>
      </w:pPr>
    </w:p>
    <w:p w14:paraId="6651B4EB">
      <w:pPr>
        <w:rPr>
          <w:rFonts w:ascii="Times New Roman" w:hAnsi="Times New Roman" w:eastAsia="黑体" w:cs="Times New Roman"/>
          <w:b/>
          <w:bCs/>
          <w:color w:val="000000" w:themeColor="text1"/>
          <w:sz w:val="32"/>
          <w:szCs w:val="32"/>
          <w14:textFill>
            <w14:solidFill>
              <w14:schemeClr w14:val="tx1"/>
            </w14:solidFill>
          </w14:textFill>
        </w:rPr>
      </w:pPr>
    </w:p>
    <w:p w14:paraId="2D3D47B1">
      <w:pPr>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项目建设单位：曲靖市沾益区第二人民医院</w:t>
      </w:r>
    </w:p>
    <w:p w14:paraId="7D1DD0FB">
      <w:pPr>
        <w:jc w:val="left"/>
        <w:rPr>
          <w:rFonts w:ascii="Times New Roman" w:hAnsi="Times New Roman" w:eastAsia="黑体" w:cs="Times New Roman"/>
          <w:b/>
          <w:bCs/>
          <w:color w:val="000000" w:themeColor="text1"/>
          <w:sz w:val="32"/>
          <w:szCs w:val="32"/>
          <w14:textFill>
            <w14:solidFill>
              <w14:schemeClr w14:val="tx1"/>
            </w14:solidFill>
          </w14:textFill>
        </w:rPr>
      </w:pPr>
    </w:p>
    <w:p w14:paraId="37C10BFD">
      <w:pPr>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评估委托单位：曲靖市沾益区第二人民医院</w:t>
      </w:r>
    </w:p>
    <w:p w14:paraId="35C2E336">
      <w:pPr>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 xml:space="preserve">                      </w:t>
      </w:r>
    </w:p>
    <w:p w14:paraId="3A0D6C11">
      <w:pPr>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评估单位：云南爱尔信时代工程项目管理有限公司</w:t>
      </w:r>
    </w:p>
    <w:p w14:paraId="76248A0D">
      <w:pPr>
        <w:jc w:val="left"/>
        <w:rPr>
          <w:rFonts w:ascii="Times New Roman" w:hAnsi="Times New Roman" w:eastAsia="黑体" w:cs="Times New Roman"/>
          <w:b/>
          <w:bCs/>
          <w:color w:val="000000" w:themeColor="text1"/>
          <w:sz w:val="32"/>
          <w:szCs w:val="32"/>
          <w14:textFill>
            <w14:solidFill>
              <w14:schemeClr w14:val="tx1"/>
            </w14:solidFill>
          </w14:textFill>
        </w:rPr>
      </w:pPr>
    </w:p>
    <w:p w14:paraId="29E9CAE9">
      <w:pPr>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单位负责人：张镇（一级注册造价师、高级工程师）</w:t>
      </w:r>
    </w:p>
    <w:p w14:paraId="53C2BB2D">
      <w:pPr>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项目负责人：张吉焕（一级注册造价师、高级经济师）</w:t>
      </w:r>
    </w:p>
    <w:p w14:paraId="4FAF59F1">
      <w:pPr>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pacing w:val="-20"/>
          <w:sz w:val="32"/>
          <w:szCs w:val="32"/>
          <w14:textFill>
            <w14:solidFill>
              <w14:schemeClr w14:val="tx1"/>
            </w14:solidFill>
          </w14:textFill>
        </w:rPr>
        <w:t xml:space="preserve">编 制 人 员： </w:t>
      </w:r>
      <w:r>
        <w:rPr>
          <w:rFonts w:ascii="Times New Roman" w:hAnsi="Times New Roman" w:eastAsia="黑体" w:cs="Times New Roman"/>
          <w:b/>
          <w:bCs/>
          <w:color w:val="000000" w:themeColor="text1"/>
          <w:sz w:val="32"/>
          <w:szCs w:val="32"/>
          <w14:textFill>
            <w14:solidFill>
              <w14:schemeClr w14:val="tx1"/>
            </w14:solidFill>
          </w14:textFill>
        </w:rPr>
        <w:t>张吉焕（一级注册造价师、高级经济师）</w:t>
      </w:r>
    </w:p>
    <w:p w14:paraId="748459C8">
      <w:pPr>
        <w:ind w:firstLine="1928" w:firstLineChars="600"/>
        <w:jc w:val="left"/>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刘旭镇（一级注册造价师、高级工程师）</w:t>
      </w:r>
    </w:p>
    <w:p w14:paraId="3AF73C45">
      <w:pPr>
        <w:ind w:firstLine="1928" w:firstLineChars="600"/>
        <w:jc w:val="left"/>
        <w:rPr>
          <w:rFonts w:ascii="Times New Roman" w:hAnsi="Times New Roman" w:eastAsia="黑体" w:cs="Times New Roman"/>
          <w:b/>
          <w:bCs/>
          <w:color w:val="000000" w:themeColor="text1"/>
          <w:sz w:val="32"/>
          <w:szCs w:val="32"/>
          <w14:textFill>
            <w14:solidFill>
              <w14:schemeClr w14:val="tx1"/>
            </w14:solidFill>
          </w14:textFill>
        </w:rPr>
      </w:pPr>
    </w:p>
    <w:p w14:paraId="16E1ABC1">
      <w:pPr>
        <w:ind w:firstLine="1928" w:firstLineChars="600"/>
        <w:jc w:val="left"/>
        <w:rPr>
          <w:rFonts w:ascii="Times New Roman" w:hAnsi="Times New Roman" w:eastAsia="黑体" w:cs="Times New Roman"/>
          <w:b/>
          <w:bCs/>
          <w:color w:val="000000" w:themeColor="text1"/>
          <w:sz w:val="32"/>
          <w:szCs w:val="32"/>
          <w14:textFill>
            <w14:solidFill>
              <w14:schemeClr w14:val="tx1"/>
            </w14:solidFill>
          </w14:textFill>
        </w:rPr>
      </w:pPr>
    </w:p>
    <w:p w14:paraId="1FEF60B3">
      <w:pPr>
        <w:ind w:firstLine="1928" w:firstLineChars="600"/>
        <w:jc w:val="left"/>
        <w:rPr>
          <w:rFonts w:ascii="Times New Roman" w:hAnsi="Times New Roman" w:eastAsia="黑体" w:cs="Times New Roman"/>
          <w:b/>
          <w:bCs/>
          <w:color w:val="000000" w:themeColor="text1"/>
          <w:sz w:val="32"/>
          <w:szCs w:val="32"/>
          <w14:textFill>
            <w14:solidFill>
              <w14:schemeClr w14:val="tx1"/>
            </w14:solidFill>
          </w14:textFill>
        </w:rPr>
      </w:pPr>
    </w:p>
    <w:p w14:paraId="50194CAC">
      <w:pPr>
        <w:pStyle w:val="6"/>
        <w:widowControl/>
        <w:shd w:val="clear" w:color="auto" w:fill="FFFFFF"/>
        <w:spacing w:beforeAutospacing="0" w:afterAutospacing="0" w:line="600" w:lineRule="atLeast"/>
        <w:jc w:val="center"/>
        <w:rPr>
          <w:rFonts w:ascii="Times New Roman" w:hAnsi="Times New Roman"/>
          <w:color w:val="000000" w:themeColor="text1"/>
          <w:sz w:val="21"/>
          <w:szCs w:val="21"/>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14:paraId="597774D9">
      <w:pPr>
        <w:pStyle w:val="6"/>
        <w:widowControl/>
        <w:shd w:val="clear" w:color="auto" w:fill="FFFFFF"/>
        <w:spacing w:beforeAutospacing="0" w:afterAutospacing="0" w:line="600" w:lineRule="atLeast"/>
        <w:jc w:val="center"/>
        <w:rPr>
          <w:rFonts w:ascii="Times New Roman" w:hAnsi="Times New Roman"/>
          <w:color w:val="000000" w:themeColor="text1"/>
          <w:sz w:val="21"/>
          <w:szCs w:val="21"/>
          <w14:textFill>
            <w14:solidFill>
              <w14:schemeClr w14:val="tx1"/>
            </w14:solidFill>
          </w14:textFill>
        </w:rPr>
      </w:pPr>
    </w:p>
    <w:p w14:paraId="77287E20">
      <w:pPr>
        <w:pStyle w:val="6"/>
        <w:widowControl/>
        <w:shd w:val="clear" w:color="auto" w:fill="FFFFFF"/>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目</w:t>
      </w:r>
      <w:r>
        <w:rPr>
          <w:rFonts w:ascii="Times New Roman" w:hAnsi="Times New Roman" w:eastAsia="微软雅黑"/>
          <w:color w:val="000000" w:themeColor="text1"/>
          <w:sz w:val="32"/>
          <w:szCs w:val="32"/>
          <w:shd w:val="clear" w:color="auto" w:fill="FFFFFF"/>
          <w14:textFill>
            <w14:solidFill>
              <w14:schemeClr w14:val="tx1"/>
            </w14:solidFill>
          </w14:textFill>
        </w:rPr>
        <w:t>     </w:t>
      </w:r>
      <w:r>
        <w:rPr>
          <w:rFonts w:ascii="Times New Roman" w:hAnsi="Times New Roman" w:eastAsia="宋体"/>
          <w:color w:val="000000" w:themeColor="text1"/>
          <w:sz w:val="32"/>
          <w:szCs w:val="32"/>
          <w:shd w:val="clear" w:color="auto" w:fill="FFFFFF"/>
          <w14:textFill>
            <w14:solidFill>
              <w14:schemeClr w14:val="tx1"/>
            </w14:solidFill>
          </w14:textFill>
        </w:rPr>
        <w:t>录</w:t>
      </w:r>
    </w:p>
    <w:p w14:paraId="16F5E1B7">
      <w:pPr>
        <w:pStyle w:val="6"/>
        <w:widowControl/>
        <w:shd w:val="clear" w:color="auto" w:fill="FFFFFF"/>
        <w:spacing w:beforeAutospacing="0" w:afterAutospacing="0"/>
        <w:jc w:val="both"/>
        <w:rPr>
          <w:rFonts w:ascii="Times New Roman" w:hAnsi="Times New Roman" w:eastAsia="微软雅黑"/>
          <w:color w:val="000000" w:themeColor="text1"/>
          <w:sz w:val="21"/>
          <w:szCs w:val="21"/>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一、</w:t>
      </w:r>
      <w:r>
        <w:rPr>
          <w:rFonts w:ascii="Times New Roman" w:hAnsi="Times New Roman" w:eastAsia="宋体"/>
          <w:color w:val="000000" w:themeColor="text1"/>
          <w:sz w:val="32"/>
          <w:szCs w:val="32"/>
          <w:shd w:val="clear" w:color="auto" w:fill="FFFFFF"/>
          <w14:textFill>
            <w14:solidFill>
              <w14:schemeClr w14:val="tx1"/>
            </w14:solidFill>
          </w14:textFill>
        </w:rPr>
        <w:t>基本情况</w:t>
      </w:r>
      <w:r>
        <w:rPr>
          <w:rFonts w:ascii="Times New Roman" w:hAnsi="Times New Roman" w:eastAsia="微软雅黑"/>
          <w:color w:val="000000" w:themeColor="text1"/>
          <w:sz w:val="32"/>
          <w:szCs w:val="32"/>
          <w:shd w:val="clear" w:color="auto" w:fill="FFFFFF"/>
          <w14:textFill>
            <w14:solidFill>
              <w14:schemeClr w14:val="tx1"/>
            </w14:solidFill>
          </w14:textFill>
        </w:rPr>
        <w:t>.........................................................................1</w:t>
      </w:r>
    </w:p>
    <w:p w14:paraId="508F8A82">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（一）</w:t>
      </w:r>
      <w:r>
        <w:rPr>
          <w:rFonts w:ascii="Times New Roman" w:hAnsi="Times New Roman" w:eastAsia="宋体"/>
          <w:color w:val="000000" w:themeColor="text1"/>
          <w:sz w:val="28"/>
          <w:szCs w:val="28"/>
          <w:shd w:val="clear" w:color="auto" w:fill="FFFFFF"/>
          <w14:textFill>
            <w14:solidFill>
              <w14:schemeClr w14:val="tx1"/>
            </w14:solidFill>
          </w14:textFill>
        </w:rPr>
        <w:t>项目概况...</w:t>
      </w:r>
      <w:r>
        <w:rPr>
          <w:rFonts w:ascii="Times New Roman" w:hAnsi="Times New Roman" w:eastAsia="微软雅黑"/>
          <w:color w:val="000000" w:themeColor="text1"/>
          <w:sz w:val="32"/>
          <w:szCs w:val="32"/>
          <w:shd w:val="clear" w:color="auto" w:fill="FFFFFF"/>
          <w14:textFill>
            <w14:solidFill>
              <w14:schemeClr w14:val="tx1"/>
            </w14:solidFill>
          </w14:textFill>
        </w:rPr>
        <w:t>...............................................................1</w:t>
      </w:r>
    </w:p>
    <w:p w14:paraId="67DC023E">
      <w:pPr>
        <w:pStyle w:val="6"/>
        <w:widowControl/>
        <w:shd w:val="clear" w:color="auto" w:fill="FFFFFF"/>
        <w:spacing w:beforeAutospacing="0" w:afterAutospacing="0"/>
        <w:jc w:val="both"/>
        <w:rPr>
          <w:rFonts w:ascii="Times New Roman" w:hAnsi="Times New Roman" w:eastAsia="微软雅黑"/>
          <w:color w:val="000000" w:themeColor="text1"/>
          <w:sz w:val="32"/>
          <w:szCs w:val="32"/>
          <w:shd w:val="clear" w:color="auto" w:fill="FFFFFF"/>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（二）</w:t>
      </w:r>
      <w:r>
        <w:rPr>
          <w:rFonts w:ascii="Times New Roman" w:hAnsi="Times New Roman" w:eastAsia="宋体"/>
          <w:color w:val="000000" w:themeColor="text1"/>
          <w:sz w:val="28"/>
          <w:szCs w:val="28"/>
          <w:shd w:val="clear" w:color="auto" w:fill="FFFFFF"/>
          <w14:textFill>
            <w14:solidFill>
              <w14:schemeClr w14:val="tx1"/>
            </w14:solidFill>
          </w14:textFill>
        </w:rPr>
        <w:t>评估的内容..</w:t>
      </w:r>
      <w:r>
        <w:rPr>
          <w:rFonts w:ascii="Times New Roman" w:hAnsi="Times New Roman" w:eastAsia="宋体"/>
          <w:color w:val="000000" w:themeColor="text1"/>
          <w:sz w:val="32"/>
          <w:szCs w:val="32"/>
          <w:shd w:val="clear" w:color="auto" w:fill="FFFFFF"/>
          <w14:textFill>
            <w14:solidFill>
              <w14:schemeClr w14:val="tx1"/>
            </w14:solidFill>
          </w14:textFill>
        </w:rPr>
        <w:t>.</w:t>
      </w:r>
      <w:r>
        <w:rPr>
          <w:rFonts w:ascii="Times New Roman" w:hAnsi="Times New Roman" w:eastAsia="微软雅黑"/>
          <w:color w:val="000000" w:themeColor="text1"/>
          <w:sz w:val="32"/>
          <w:szCs w:val="32"/>
          <w:shd w:val="clear" w:color="auto" w:fill="FFFFFF"/>
          <w14:textFill>
            <w14:solidFill>
              <w14:schemeClr w14:val="tx1"/>
            </w14:solidFill>
          </w14:textFill>
        </w:rPr>
        <w:t>...........................................................3</w:t>
      </w:r>
    </w:p>
    <w:p w14:paraId="5385D8AA">
      <w:pPr>
        <w:pStyle w:val="6"/>
        <w:widowControl/>
        <w:shd w:val="clear" w:color="auto" w:fill="FFFFFF"/>
        <w:spacing w:beforeAutospacing="0" w:afterAutospacing="0"/>
        <w:jc w:val="both"/>
        <w:rPr>
          <w:rFonts w:ascii="Times New Roman" w:hAnsi="Times New Roman" w:eastAsia="微软雅黑"/>
          <w:color w:val="000000" w:themeColor="text1"/>
          <w:sz w:val="32"/>
          <w:szCs w:val="32"/>
          <w:shd w:val="clear" w:color="auto" w:fill="FFFFFF"/>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（三）</w:t>
      </w:r>
      <w:r>
        <w:rPr>
          <w:rFonts w:ascii="Times New Roman" w:hAnsi="Times New Roman" w:eastAsia="宋体"/>
          <w:color w:val="000000" w:themeColor="text1"/>
          <w:sz w:val="28"/>
          <w:szCs w:val="28"/>
          <w:shd w:val="clear" w:color="auto" w:fill="FFFFFF"/>
          <w14:textFill>
            <w14:solidFill>
              <w14:schemeClr w14:val="tx1"/>
            </w14:solidFill>
          </w14:textFill>
        </w:rPr>
        <w:t>评估的原则...</w:t>
      </w:r>
      <w:r>
        <w:rPr>
          <w:rFonts w:ascii="Times New Roman" w:hAnsi="Times New Roman" w:eastAsia="微软雅黑"/>
          <w:color w:val="000000" w:themeColor="text1"/>
          <w:sz w:val="32"/>
          <w:szCs w:val="32"/>
          <w:shd w:val="clear" w:color="auto" w:fill="FFFFFF"/>
          <w14:textFill>
            <w14:solidFill>
              <w14:schemeClr w14:val="tx1"/>
            </w14:solidFill>
          </w14:textFill>
        </w:rPr>
        <w:t>............................................................3</w:t>
      </w:r>
    </w:p>
    <w:p w14:paraId="0637126E">
      <w:pPr>
        <w:pStyle w:val="6"/>
        <w:widowControl/>
        <w:shd w:val="clear" w:color="auto" w:fill="FFFFFF"/>
        <w:spacing w:beforeAutospacing="0" w:afterAutospacing="0"/>
        <w:jc w:val="both"/>
        <w:rPr>
          <w:rFonts w:ascii="Times New Roman" w:hAnsi="Times New Roman" w:eastAsia="微软雅黑"/>
          <w:color w:val="000000" w:themeColor="text1"/>
          <w:sz w:val="28"/>
          <w:szCs w:val="28"/>
          <w:shd w:val="clear" w:color="auto" w:fill="FFFFFF"/>
          <w14:textFill>
            <w14:solidFill>
              <w14:schemeClr w14:val="tx1"/>
            </w14:solidFill>
          </w14:textFill>
        </w:rPr>
      </w:pPr>
      <w:r>
        <w:rPr>
          <w:rFonts w:ascii="Times New Roman" w:hAnsi="Times New Roman" w:eastAsia="微软雅黑"/>
          <w:color w:val="000000" w:themeColor="text1"/>
          <w:sz w:val="28"/>
          <w:szCs w:val="28"/>
          <w:shd w:val="clear" w:color="auto" w:fill="FFFFFF"/>
          <w14:textFill>
            <w14:solidFill>
              <w14:schemeClr w14:val="tx1"/>
            </w14:solidFill>
          </w14:textFill>
        </w:rPr>
        <w:t>二、绩效评估.....................................................................................3</w:t>
      </w:r>
    </w:p>
    <w:p w14:paraId="380CB69A">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（一）</w:t>
      </w:r>
      <w:r>
        <w:rPr>
          <w:rFonts w:ascii="Times New Roman" w:hAnsi="Times New Roman" w:eastAsia="宋体"/>
          <w:color w:val="000000" w:themeColor="text1"/>
          <w:sz w:val="28"/>
          <w:szCs w:val="28"/>
          <w:shd w:val="clear" w:color="auto" w:fill="FFFFFF"/>
          <w14:textFill>
            <w14:solidFill>
              <w14:schemeClr w14:val="tx1"/>
            </w14:solidFill>
          </w14:textFill>
        </w:rPr>
        <w:t>绩效评估目的.</w:t>
      </w:r>
      <w:r>
        <w:rPr>
          <w:rFonts w:ascii="Times New Roman" w:hAnsi="Times New Roman" w:eastAsia="微软雅黑"/>
          <w:color w:val="000000" w:themeColor="text1"/>
          <w:sz w:val="32"/>
          <w:szCs w:val="32"/>
          <w:shd w:val="clear" w:color="auto" w:fill="FFFFFF"/>
          <w14:textFill>
            <w14:solidFill>
              <w14:schemeClr w14:val="tx1"/>
            </w14:solidFill>
          </w14:textFill>
        </w:rPr>
        <w:t>............................................................3</w:t>
      </w:r>
    </w:p>
    <w:p w14:paraId="64FA0941">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（二）</w:t>
      </w:r>
      <w:r>
        <w:rPr>
          <w:rFonts w:ascii="Times New Roman" w:hAnsi="Times New Roman" w:eastAsia="宋体"/>
          <w:color w:val="000000" w:themeColor="text1"/>
          <w:sz w:val="28"/>
          <w:szCs w:val="28"/>
          <w:shd w:val="clear" w:color="auto" w:fill="FFFFFF"/>
          <w14:textFill>
            <w14:solidFill>
              <w14:schemeClr w14:val="tx1"/>
            </w14:solidFill>
          </w14:textFill>
        </w:rPr>
        <w:t>绩效评估原则与方法</w:t>
      </w:r>
      <w:r>
        <w:rPr>
          <w:rFonts w:ascii="Times New Roman" w:hAnsi="Times New Roman" w:eastAsia="宋体"/>
          <w:color w:val="000000" w:themeColor="text1"/>
          <w:sz w:val="32"/>
          <w:szCs w:val="32"/>
          <w:shd w:val="clear" w:color="auto" w:fill="FFFFFF"/>
          <w14:textFill>
            <w14:solidFill>
              <w14:schemeClr w14:val="tx1"/>
            </w14:solidFill>
          </w14:textFill>
        </w:rPr>
        <w:t>.</w:t>
      </w:r>
      <w:r>
        <w:rPr>
          <w:rFonts w:ascii="Times New Roman" w:hAnsi="Times New Roman" w:eastAsia="微软雅黑"/>
          <w:color w:val="000000" w:themeColor="text1"/>
          <w:sz w:val="32"/>
          <w:szCs w:val="32"/>
          <w:shd w:val="clear" w:color="auto" w:fill="FFFFFF"/>
          <w14:textFill>
            <w14:solidFill>
              <w14:schemeClr w14:val="tx1"/>
            </w14:solidFill>
          </w14:textFill>
        </w:rPr>
        <w:t>.................................................3</w:t>
      </w:r>
    </w:p>
    <w:p w14:paraId="6DB6A267">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（三）</w:t>
      </w:r>
      <w:r>
        <w:rPr>
          <w:rFonts w:ascii="Times New Roman" w:hAnsi="Times New Roman" w:eastAsia="宋体"/>
          <w:color w:val="000000" w:themeColor="text1"/>
          <w:sz w:val="28"/>
          <w:szCs w:val="28"/>
          <w:shd w:val="clear" w:color="auto" w:fill="FFFFFF"/>
          <w14:textFill>
            <w14:solidFill>
              <w14:schemeClr w14:val="tx1"/>
            </w14:solidFill>
          </w14:textFill>
        </w:rPr>
        <w:t>绩效评估依据..</w:t>
      </w:r>
      <w:r>
        <w:rPr>
          <w:rFonts w:ascii="Times New Roman" w:hAnsi="Times New Roman" w:eastAsia="微软雅黑"/>
          <w:color w:val="000000" w:themeColor="text1"/>
          <w:sz w:val="32"/>
          <w:szCs w:val="32"/>
          <w:shd w:val="clear" w:color="auto" w:fill="FFFFFF"/>
          <w14:textFill>
            <w14:solidFill>
              <w14:schemeClr w14:val="tx1"/>
            </w14:solidFill>
          </w14:textFill>
        </w:rPr>
        <w:t>...........................................................4</w:t>
      </w:r>
    </w:p>
    <w:p w14:paraId="38929181">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（四）</w:t>
      </w:r>
      <w:r>
        <w:rPr>
          <w:rFonts w:ascii="Times New Roman" w:hAnsi="Times New Roman" w:eastAsia="宋体"/>
          <w:color w:val="000000" w:themeColor="text1"/>
          <w:sz w:val="28"/>
          <w:szCs w:val="28"/>
          <w:shd w:val="clear" w:color="auto" w:fill="FFFFFF"/>
          <w14:textFill>
            <w14:solidFill>
              <w14:schemeClr w14:val="tx1"/>
            </w14:solidFill>
          </w14:textFill>
        </w:rPr>
        <w:t>绩效评估工作过程...</w:t>
      </w:r>
      <w:r>
        <w:rPr>
          <w:rFonts w:ascii="Times New Roman" w:hAnsi="Times New Roman" w:eastAsia="微软雅黑"/>
          <w:color w:val="000000" w:themeColor="text1"/>
          <w:sz w:val="32"/>
          <w:szCs w:val="32"/>
          <w:shd w:val="clear" w:color="auto" w:fill="FFFFFF"/>
          <w14:textFill>
            <w14:solidFill>
              <w14:schemeClr w14:val="tx1"/>
            </w14:solidFill>
          </w14:textFill>
        </w:rPr>
        <w:t>..................................................5</w:t>
      </w:r>
    </w:p>
    <w:p w14:paraId="60F69672">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（五）</w:t>
      </w:r>
      <w:r>
        <w:rPr>
          <w:rFonts w:ascii="Times New Roman" w:hAnsi="Times New Roman" w:eastAsia="宋体"/>
          <w:color w:val="000000" w:themeColor="text1"/>
          <w:sz w:val="28"/>
          <w:szCs w:val="28"/>
          <w:shd w:val="clear" w:color="auto" w:fill="FFFFFF"/>
          <w14:textFill>
            <w14:solidFill>
              <w14:schemeClr w14:val="tx1"/>
            </w14:solidFill>
          </w14:textFill>
        </w:rPr>
        <w:t>绩效指标分析...</w:t>
      </w:r>
      <w:r>
        <w:rPr>
          <w:rFonts w:ascii="Times New Roman" w:hAnsi="Times New Roman" w:eastAsia="微软雅黑"/>
          <w:color w:val="000000" w:themeColor="text1"/>
          <w:sz w:val="32"/>
          <w:szCs w:val="32"/>
          <w:shd w:val="clear" w:color="auto" w:fill="FFFFFF"/>
          <w14:textFill>
            <w14:solidFill>
              <w14:schemeClr w14:val="tx1"/>
            </w14:solidFill>
          </w14:textFill>
        </w:rPr>
        <w:t>.........................................................5</w:t>
      </w:r>
    </w:p>
    <w:p w14:paraId="66432A61">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（六）绩效</w:t>
      </w:r>
      <w:r>
        <w:rPr>
          <w:rFonts w:ascii="Times New Roman" w:hAnsi="Times New Roman" w:eastAsia="宋体"/>
          <w:color w:val="000000" w:themeColor="text1"/>
          <w:sz w:val="28"/>
          <w:szCs w:val="28"/>
          <w:shd w:val="clear" w:color="auto" w:fill="FFFFFF"/>
          <w14:textFill>
            <w14:solidFill>
              <w14:schemeClr w14:val="tx1"/>
            </w14:solidFill>
          </w14:textFill>
        </w:rPr>
        <w:t>评估结论.</w:t>
      </w:r>
      <w:r>
        <w:rPr>
          <w:rFonts w:ascii="Times New Roman" w:hAnsi="Times New Roman" w:eastAsia="微软雅黑"/>
          <w:color w:val="000000" w:themeColor="text1"/>
          <w:sz w:val="32"/>
          <w:szCs w:val="32"/>
          <w:shd w:val="clear" w:color="auto" w:fill="FFFFFF"/>
          <w14:textFill>
            <w14:solidFill>
              <w14:schemeClr w14:val="tx1"/>
            </w14:solidFill>
          </w14:textFill>
        </w:rPr>
        <w:t>............................................................9</w:t>
      </w:r>
    </w:p>
    <w:p w14:paraId="177E6E61">
      <w:pPr>
        <w:pStyle w:val="6"/>
        <w:widowControl/>
        <w:shd w:val="clear" w:color="auto" w:fill="FFFFFF"/>
        <w:spacing w:beforeAutospacing="0" w:afterAutospacing="0"/>
        <w:jc w:val="both"/>
        <w:rPr>
          <w:rFonts w:ascii="Times New Roman" w:hAnsi="Times New Roman" w:eastAsia="微软雅黑"/>
          <w:color w:val="000000" w:themeColor="text1"/>
          <w:sz w:val="32"/>
          <w:szCs w:val="32"/>
          <w:shd w:val="clear" w:color="auto" w:fill="FFFFFF"/>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（七</w:t>
      </w:r>
      <w:r>
        <w:rPr>
          <w:rFonts w:ascii="Times New Roman" w:hAnsi="Times New Roman" w:eastAsia="宋体"/>
          <w:color w:val="000000" w:themeColor="text1"/>
          <w:sz w:val="28"/>
          <w:szCs w:val="28"/>
          <w:shd w:val="clear" w:color="auto" w:fill="FFFFFF"/>
          <w14:textFill>
            <w14:solidFill>
              <w14:schemeClr w14:val="tx1"/>
            </w14:solidFill>
          </w14:textFill>
        </w:rPr>
        <w:t>）绩效评估发现的主要问题...</w:t>
      </w:r>
      <w:r>
        <w:rPr>
          <w:rFonts w:ascii="Times New Roman" w:hAnsi="Times New Roman" w:eastAsia="微软雅黑"/>
          <w:color w:val="000000" w:themeColor="text1"/>
          <w:sz w:val="32"/>
          <w:szCs w:val="32"/>
          <w:shd w:val="clear" w:color="auto" w:fill="FFFFFF"/>
          <w14:textFill>
            <w14:solidFill>
              <w14:schemeClr w14:val="tx1"/>
            </w14:solidFill>
          </w14:textFill>
        </w:rPr>
        <w:t>........................................9</w:t>
      </w:r>
    </w:p>
    <w:p w14:paraId="28945767">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微软雅黑"/>
          <w:color w:val="000000" w:themeColor="text1"/>
          <w:sz w:val="28"/>
          <w:szCs w:val="28"/>
          <w:shd w:val="clear" w:color="auto" w:fill="FFFFFF"/>
          <w14:textFill>
            <w14:solidFill>
              <w14:schemeClr w14:val="tx1"/>
            </w14:solidFill>
          </w14:textFill>
        </w:rPr>
        <w:t>三、合法性评估.</w:t>
      </w:r>
      <w:r>
        <w:rPr>
          <w:rFonts w:ascii="Times New Roman" w:hAnsi="Times New Roman" w:eastAsia="宋体"/>
          <w:color w:val="000000" w:themeColor="text1"/>
          <w:sz w:val="28"/>
          <w:szCs w:val="28"/>
          <w:shd w:val="clear" w:color="auto" w:fill="FFFFFF"/>
          <w14:textFill>
            <w14:solidFill>
              <w14:schemeClr w14:val="tx1"/>
            </w14:solidFill>
          </w14:textFill>
        </w:rPr>
        <w:t>..</w:t>
      </w:r>
      <w:r>
        <w:rPr>
          <w:rFonts w:ascii="Times New Roman" w:hAnsi="Times New Roman" w:eastAsia="微软雅黑"/>
          <w:color w:val="000000" w:themeColor="text1"/>
          <w:sz w:val="32"/>
          <w:szCs w:val="32"/>
          <w:shd w:val="clear" w:color="auto" w:fill="FFFFFF"/>
          <w14:textFill>
            <w14:solidFill>
              <w14:schemeClr w14:val="tx1"/>
            </w14:solidFill>
          </w14:textFill>
        </w:rPr>
        <w:t>..................................................................11</w:t>
      </w:r>
    </w:p>
    <w:p w14:paraId="772868D8">
      <w:pPr>
        <w:pStyle w:val="6"/>
        <w:widowControl/>
        <w:shd w:val="clear" w:color="auto" w:fill="FFFFFF"/>
        <w:spacing w:beforeAutospacing="0" w:afterAutospacing="0"/>
        <w:jc w:val="both"/>
        <w:rPr>
          <w:rFonts w:ascii="Times New Roman" w:hAnsi="Times New Roman" w:eastAsia="微软雅黑"/>
          <w:color w:val="000000" w:themeColor="text1"/>
          <w:sz w:val="28"/>
          <w:szCs w:val="28"/>
          <w:shd w:val="clear" w:color="auto" w:fill="FFFFFF"/>
          <w14:textFill>
            <w14:solidFill>
              <w14:schemeClr w14:val="tx1"/>
            </w14:solidFill>
          </w14:textFill>
        </w:rPr>
      </w:pPr>
      <w:r>
        <w:rPr>
          <w:rFonts w:ascii="Times New Roman" w:hAnsi="Times New Roman" w:eastAsia="微软雅黑"/>
          <w:color w:val="000000" w:themeColor="text1"/>
          <w:sz w:val="28"/>
          <w:szCs w:val="28"/>
          <w:shd w:val="clear" w:color="auto" w:fill="FFFFFF"/>
          <w14:textFill>
            <w14:solidFill>
              <w14:schemeClr w14:val="tx1"/>
            </w14:solidFill>
          </w14:textFill>
        </w:rPr>
        <w:t>四、操作性评估.</w:t>
      </w:r>
      <w:r>
        <w:rPr>
          <w:rFonts w:ascii="Times New Roman" w:hAnsi="Times New Roman" w:eastAsia="宋体"/>
          <w:color w:val="000000" w:themeColor="text1"/>
          <w:sz w:val="28"/>
          <w:szCs w:val="28"/>
          <w:shd w:val="clear" w:color="auto" w:fill="FFFFFF"/>
          <w14:textFill>
            <w14:solidFill>
              <w14:schemeClr w14:val="tx1"/>
            </w14:solidFill>
          </w14:textFill>
        </w:rPr>
        <w:t>......</w:t>
      </w:r>
      <w:r>
        <w:rPr>
          <w:rFonts w:ascii="Times New Roman" w:hAnsi="Times New Roman" w:eastAsia="微软雅黑"/>
          <w:color w:val="000000" w:themeColor="text1"/>
          <w:sz w:val="28"/>
          <w:szCs w:val="28"/>
          <w:shd w:val="clear" w:color="auto" w:fill="FFFFFF"/>
          <w14:textFill>
            <w14:solidFill>
              <w14:schemeClr w14:val="tx1"/>
            </w14:solidFill>
          </w14:textFill>
        </w:rPr>
        <w:t>....................................................................13</w:t>
      </w:r>
    </w:p>
    <w:p w14:paraId="08A2FDB5">
      <w:pPr>
        <w:pStyle w:val="6"/>
        <w:widowControl/>
        <w:shd w:val="clear" w:color="auto" w:fill="FFFFFF"/>
        <w:spacing w:beforeAutospacing="0" w:afterAutospacing="0"/>
        <w:jc w:val="both"/>
        <w:rPr>
          <w:rFonts w:ascii="Times New Roman" w:hAnsi="Times New Roman" w:eastAsia="微软雅黑"/>
          <w:color w:val="000000" w:themeColor="text1"/>
          <w:sz w:val="28"/>
          <w:szCs w:val="28"/>
          <w:shd w:val="clear" w:color="auto" w:fill="FFFFFF"/>
          <w14:textFill>
            <w14:solidFill>
              <w14:schemeClr w14:val="tx1"/>
            </w14:solidFill>
          </w14:textFill>
        </w:rPr>
      </w:pPr>
      <w:r>
        <w:rPr>
          <w:rFonts w:ascii="Times New Roman" w:hAnsi="Times New Roman" w:eastAsia="微软雅黑"/>
          <w:color w:val="000000" w:themeColor="text1"/>
          <w:sz w:val="28"/>
          <w:szCs w:val="28"/>
          <w:shd w:val="clear" w:color="auto" w:fill="FFFFFF"/>
          <w14:textFill>
            <w14:solidFill>
              <w14:schemeClr w14:val="tx1"/>
            </w14:solidFill>
          </w14:textFill>
        </w:rPr>
        <w:t>五、概算执行情况评估.....................................................................14</w:t>
      </w:r>
    </w:p>
    <w:p w14:paraId="030FA89B">
      <w:pPr>
        <w:pStyle w:val="6"/>
        <w:widowControl/>
        <w:shd w:val="clear" w:color="auto" w:fill="FFFFFF"/>
        <w:spacing w:beforeAutospacing="0" w:afterAutospacing="0"/>
        <w:jc w:val="both"/>
        <w:rPr>
          <w:rFonts w:ascii="Times New Roman" w:hAnsi="Times New Roman" w:eastAsia="微软雅黑"/>
          <w:color w:val="000000" w:themeColor="text1"/>
          <w:sz w:val="28"/>
          <w:szCs w:val="28"/>
          <w:shd w:val="clear" w:color="auto" w:fill="FFFFFF"/>
          <w14:textFill>
            <w14:solidFill>
              <w14:schemeClr w14:val="tx1"/>
            </w14:solidFill>
          </w14:textFill>
        </w:rPr>
      </w:pPr>
      <w:r>
        <w:rPr>
          <w:rFonts w:ascii="Times New Roman" w:hAnsi="Times New Roman" w:eastAsia="微软雅黑"/>
          <w:color w:val="000000" w:themeColor="text1"/>
          <w:sz w:val="28"/>
          <w:szCs w:val="28"/>
          <w:shd w:val="clear" w:color="auto" w:fill="FFFFFF"/>
          <w14:textFill>
            <w14:solidFill>
              <w14:schemeClr w14:val="tx1"/>
            </w14:solidFill>
          </w14:textFill>
        </w:rPr>
        <w:t>六、</w:t>
      </w:r>
      <w:r>
        <w:rPr>
          <w:rFonts w:ascii="Times New Roman" w:hAnsi="Times New Roman" w:eastAsia="宋体"/>
          <w:color w:val="000000" w:themeColor="text1"/>
          <w:sz w:val="28"/>
          <w:szCs w:val="28"/>
          <w:shd w:val="clear" w:color="auto" w:fill="FFFFFF"/>
          <w14:textFill>
            <w14:solidFill>
              <w14:schemeClr w14:val="tx1"/>
            </w14:solidFill>
          </w14:textFill>
        </w:rPr>
        <w:t>有关建议措施.</w:t>
      </w:r>
      <w:r>
        <w:rPr>
          <w:rFonts w:ascii="Times New Roman" w:hAnsi="Times New Roman" w:eastAsia="微软雅黑"/>
          <w:color w:val="000000" w:themeColor="text1"/>
          <w:sz w:val="28"/>
          <w:szCs w:val="28"/>
          <w:shd w:val="clear" w:color="auto" w:fill="FFFFFF"/>
          <w14:textFill>
            <w14:solidFill>
              <w14:schemeClr w14:val="tx1"/>
            </w14:solidFill>
          </w14:textFill>
        </w:rPr>
        <w:t>............................................................................15</w:t>
      </w:r>
    </w:p>
    <w:p w14:paraId="0CB3E4A1">
      <w:pPr>
        <w:pStyle w:val="2"/>
        <w:widowControl/>
        <w:shd w:val="clear" w:color="auto" w:fill="FFFFFF"/>
        <w:spacing w:beforeAutospacing="0" w:afterAutospacing="0"/>
        <w:rPr>
          <w:rFonts w:hint="default" w:ascii="Times New Roman" w:hAnsi="Times New Roman" w:eastAsia="微软雅黑"/>
          <w:color w:val="000000" w:themeColor="text1"/>
          <w:sz w:val="21"/>
          <w:szCs w:val="21"/>
          <w14:textFill>
            <w14:solidFill>
              <w14:schemeClr w14:val="tx1"/>
            </w14:solidFill>
          </w14:textFill>
        </w:rPr>
      </w:pPr>
      <w:r>
        <w:rPr>
          <w:rFonts w:hint="default" w:ascii="Times New Roman" w:hAnsi="Times New Roman" w:eastAsia="微软雅黑"/>
          <w:b w:val="0"/>
          <w:bCs w:val="0"/>
          <w:color w:val="000000" w:themeColor="text1"/>
          <w:sz w:val="28"/>
          <w:szCs w:val="28"/>
          <w:shd w:val="clear" w:color="auto" w:fill="FFFFFF"/>
          <w14:textFill>
            <w14:solidFill>
              <w14:schemeClr w14:val="tx1"/>
            </w14:solidFill>
          </w14:textFill>
        </w:rPr>
        <w:t>七、</w:t>
      </w:r>
      <w:r>
        <w:rPr>
          <w:rFonts w:hint="default" w:ascii="Times New Roman" w:hAnsi="Times New Roman"/>
          <w:b w:val="0"/>
          <w:bCs w:val="0"/>
          <w:color w:val="000000" w:themeColor="text1"/>
          <w:kern w:val="0"/>
          <w:sz w:val="28"/>
          <w:szCs w:val="28"/>
          <w:shd w:val="clear" w:color="auto" w:fill="FFFFFF"/>
          <w:lang w:bidi="ar"/>
          <w14:textFill>
            <w14:solidFill>
              <w14:schemeClr w14:val="tx1"/>
            </w14:solidFill>
          </w14:textFill>
        </w:rPr>
        <w:t>其他说明</w:t>
      </w:r>
      <w:r>
        <w:rPr>
          <w:rFonts w:hint="default" w:ascii="Times New Roman" w:hAnsi="Times New Roman" w:eastAsia="微软雅黑"/>
          <w:b w:val="0"/>
          <w:bCs w:val="0"/>
          <w:color w:val="000000" w:themeColor="text1"/>
          <w:sz w:val="28"/>
          <w:szCs w:val="28"/>
          <w:shd w:val="clear" w:color="auto" w:fill="FFFFFF"/>
          <w14:textFill>
            <w14:solidFill>
              <w14:schemeClr w14:val="tx1"/>
            </w14:solidFill>
          </w14:textFill>
        </w:rPr>
        <w:t>......................................................................................15</w:t>
      </w:r>
    </w:p>
    <w:p w14:paraId="78F5FFFA">
      <w:pPr>
        <w:pStyle w:val="6"/>
        <w:widowControl/>
        <w:shd w:val="clear" w:color="auto" w:fill="FFFFFF"/>
        <w:spacing w:beforeAutospacing="0" w:afterAutospacing="0"/>
        <w:jc w:val="both"/>
        <w:rPr>
          <w:rFonts w:ascii="Times New Roman" w:hAnsi="Times New Roman" w:eastAsia="微软雅黑"/>
          <w:color w:val="000000" w:themeColor="text1"/>
          <w:sz w:val="28"/>
          <w:szCs w:val="28"/>
          <w:shd w:val="clear" w:color="auto" w:fill="FFFFFF"/>
          <w14:textFill>
            <w14:solidFill>
              <w14:schemeClr w14:val="tx1"/>
            </w14:solidFill>
          </w14:textFill>
        </w:rPr>
      </w:pPr>
    </w:p>
    <w:p w14:paraId="7F54E539">
      <w:pPr>
        <w:pStyle w:val="6"/>
        <w:widowControl/>
        <w:shd w:val="clear" w:color="auto" w:fill="FFFFFF"/>
        <w:spacing w:beforeAutospacing="0" w:afterAutospacing="0"/>
        <w:jc w:val="both"/>
        <w:rPr>
          <w:rFonts w:ascii="Times New Roman" w:hAnsi="Times New Roman" w:eastAsia="微软雅黑"/>
          <w:color w:val="000000" w:themeColor="text1"/>
          <w:sz w:val="32"/>
          <w:szCs w:val="32"/>
          <w:shd w:val="clear" w:color="auto" w:fill="FFFFFF"/>
          <w14:textFill>
            <w14:solidFill>
              <w14:schemeClr w14:val="tx1"/>
            </w14:solidFill>
          </w14:textFill>
        </w:rPr>
      </w:pPr>
      <w:r>
        <w:rPr>
          <w:rFonts w:ascii="Times New Roman" w:hAnsi="Times New Roman" w:eastAsia="微软雅黑"/>
          <w:color w:val="000000" w:themeColor="text1"/>
          <w:sz w:val="32"/>
          <w:szCs w:val="32"/>
          <w:shd w:val="clear" w:color="auto" w:fill="FFFFFF"/>
          <w14:textFill>
            <w14:solidFill>
              <w14:schemeClr w14:val="tx1"/>
            </w14:solidFill>
          </w14:textFill>
        </w:rPr>
        <w:t xml:space="preserve">   </w:t>
      </w:r>
    </w:p>
    <w:p w14:paraId="47F5FA49">
      <w:pPr>
        <w:pStyle w:val="6"/>
        <w:widowControl/>
        <w:shd w:val="clear" w:color="auto" w:fill="FFFFFF"/>
        <w:spacing w:beforeAutospacing="0" w:afterAutospacing="0"/>
        <w:jc w:val="both"/>
        <w:rPr>
          <w:rFonts w:ascii="Times New Roman" w:hAnsi="Times New Roman" w:eastAsia="微软雅黑"/>
          <w:color w:val="000000" w:themeColor="text1"/>
          <w:sz w:val="32"/>
          <w:szCs w:val="32"/>
          <w:shd w:val="clear" w:color="auto" w:fill="FFFFFF"/>
          <w14:textFill>
            <w14:solidFill>
              <w14:schemeClr w14:val="tx1"/>
            </w14:solidFill>
          </w14:textFill>
        </w:rPr>
      </w:pPr>
    </w:p>
    <w:p w14:paraId="74E1989F">
      <w:pPr>
        <w:pStyle w:val="6"/>
        <w:widowControl/>
        <w:shd w:val="clear" w:color="auto" w:fill="FFFFFF"/>
        <w:spacing w:beforeAutospacing="0" w:afterAutospacing="0"/>
        <w:jc w:val="both"/>
        <w:rPr>
          <w:rFonts w:ascii="Times New Roman" w:hAnsi="Times New Roman" w:eastAsia="微软雅黑"/>
          <w:color w:val="000000" w:themeColor="text1"/>
          <w:sz w:val="32"/>
          <w:szCs w:val="32"/>
          <w:shd w:val="clear" w:color="auto" w:fill="FFFFFF"/>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14:paraId="5FD65935">
      <w:pPr>
        <w:pStyle w:val="6"/>
        <w:widowControl/>
        <w:shd w:val="clear" w:color="auto" w:fill="FFFFFF"/>
        <w:spacing w:beforeAutospacing="0" w:afterAutospacing="0"/>
        <w:jc w:val="both"/>
        <w:rPr>
          <w:rFonts w:ascii="Times New Roman" w:hAnsi="Times New Roman" w:eastAsia="微软雅黑"/>
          <w:color w:val="000000" w:themeColor="text1"/>
          <w:sz w:val="32"/>
          <w:szCs w:val="32"/>
          <w:shd w:val="clear" w:color="auto" w:fill="FFFFFF"/>
          <w14:textFill>
            <w14:solidFill>
              <w14:schemeClr w14:val="tx1"/>
            </w14:solidFill>
          </w14:textFill>
        </w:rPr>
      </w:pPr>
    </w:p>
    <w:p w14:paraId="17046FC6">
      <w:pPr>
        <w:pStyle w:val="6"/>
        <w:widowControl/>
        <w:shd w:val="clear" w:color="auto" w:fill="FFFFFF"/>
        <w:spacing w:beforeAutospacing="0" w:afterAutospacing="0"/>
        <w:ind w:firstLine="840" w:firstLineChars="300"/>
        <w:jc w:val="both"/>
        <w:rPr>
          <w:rFonts w:ascii="Times New Roman" w:hAnsi="Times New Roman" w:eastAsia="宋体"/>
          <w:color w:val="000000" w:themeColor="text1"/>
          <w:sz w:val="28"/>
          <w:szCs w:val="28"/>
          <w:shd w:val="clear" w:color="auto" w:fill="FFFFFF"/>
          <w:lang w:bidi="ar"/>
          <w14:textFill>
            <w14:solidFill>
              <w14:schemeClr w14:val="tx1"/>
            </w14:solidFill>
          </w14:textFill>
        </w:rPr>
      </w:pPr>
      <w:r>
        <w:rPr>
          <w:rFonts w:ascii="Times New Roman" w:hAnsi="Times New Roman" w:eastAsia="宋体"/>
          <w:color w:val="000000" w:themeColor="text1"/>
          <w:sz w:val="28"/>
          <w:szCs w:val="28"/>
          <w:shd w:val="clear" w:color="auto" w:fill="FFFFFF"/>
          <w:lang w:bidi="ar"/>
          <w14:textFill>
            <w14:solidFill>
              <w14:schemeClr w14:val="tx1"/>
            </w14:solidFill>
          </w14:textFill>
        </w:rPr>
        <w:t>为了加强对区人民政府重大行政决策实施情况的跟踪调查，适时调整和完善有关决策，提高重大行政决策质量，推进重大行 政决策科学化、民主化和法治化，根据《曲靖市沾益区人民政府办公室关于开展2023年重大行政决策实施情况后评估工作的通知》要求。我们遵循客观公正、公开透明、公众参与评估原则，通过资料收集整理、数据分析、现场调研、访谈座谈、调查问卷等必要的工作程序，对该项目进行了后评估。</w:t>
      </w:r>
    </w:p>
    <w:p w14:paraId="6FF4AE91">
      <w:pPr>
        <w:pStyle w:val="6"/>
        <w:widowControl/>
        <w:spacing w:beforeAutospacing="0" w:afterAutospacing="0"/>
        <w:ind w:firstLine="562" w:firstLineChars="200"/>
        <w:jc w:val="both"/>
        <w:rPr>
          <w:rFonts w:ascii="Times New Roman" w:hAnsi="Times New Roman"/>
          <w:color w:val="000000" w:themeColor="text1"/>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一、基本情况</w:t>
      </w:r>
    </w:p>
    <w:p w14:paraId="585DE8FD">
      <w:pPr>
        <w:pStyle w:val="3"/>
        <w:widowControl/>
        <w:shd w:val="clear" w:color="auto" w:fill="FFFFFF"/>
        <w:spacing w:beforeAutospacing="0" w:afterAutospacing="0"/>
        <w:ind w:firstLine="562" w:firstLineChars="200"/>
        <w:rPr>
          <w:rFonts w:hint="default" w:ascii="Times New Roman" w:hAnsi="Times New Roman" w:eastAsia="微软雅黑"/>
          <w:color w:val="000000" w:themeColor="text1"/>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（一）项目概况</w:t>
      </w:r>
    </w:p>
    <w:p w14:paraId="10AC4E42">
      <w:pPr>
        <w:pStyle w:val="6"/>
        <w:widowControl/>
        <w:shd w:val="clear" w:color="auto" w:fill="FFFFFF"/>
        <w:spacing w:beforeAutospacing="0" w:afterAutospacing="0"/>
        <w:ind w:firstLine="56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为解决群众看病难、住院难、缓解目前住院床位紧张、就医环境拥挤，同时曲靖市沾益区整体医疗体系方面相对落后，沾益区原有医疗设备及人口容量已经滞后等问题越来越突出，根据曲靖市社会发展规划曲靖正在建设200平方公里的200万人口的珠江源大城市，按《综合院院建设标准》建标110-2008》和曲靖市《卫生事业发展“十三五”规划》、曲靖城市域《曲靖市医疗卫生机构布局规划》，经曲靖市沾益区卫生和计划生育局于沾卫计呈【2017】66号文向曲靖市沾益区发展和改革局提出立项申请；曲靖市发展和改革委员会于曲发改社会【2017】31号文件通过了本项目可行性研究的批复；曲靖市沾益区发展和改革委员会于沾发改社会【2017】56号文件下达了曲靖市沾益区第二人民医院新建项目基建投资计划。</w:t>
      </w:r>
    </w:p>
    <w:p w14:paraId="53F3E7CD">
      <w:pPr>
        <w:pStyle w:val="6"/>
        <w:widowControl/>
        <w:shd w:val="clear" w:color="auto" w:fill="FFFFFF"/>
        <w:spacing w:beforeAutospacing="0" w:afterAutospacing="0" w:line="315"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1、建设内容</w:t>
      </w:r>
    </w:p>
    <w:p w14:paraId="1F2E4C19">
      <w:pPr>
        <w:pStyle w:val="6"/>
        <w:widowControl/>
        <w:shd w:val="clear" w:color="auto" w:fill="FFFFFF"/>
        <w:spacing w:beforeAutospacing="0" w:afterAutospacing="0" w:line="315"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曲靖市沾益区第二人民医院新建项目选址沾益区南片区，根据</w:t>
      </w:r>
      <w:bookmarkStart w:id="0" w:name="OLE_LINK1"/>
      <w:r>
        <w:rPr>
          <w:rFonts w:ascii="Times New Roman" w:hAnsi="Times New Roman" w:eastAsia="宋体"/>
          <w:color w:val="000000" w:themeColor="text1"/>
          <w:sz w:val="28"/>
          <w:szCs w:val="28"/>
          <w:shd w:val="clear" w:color="auto" w:fill="FFFFFF"/>
          <w14:textFill>
            <w14:solidFill>
              <w14:schemeClr w14:val="tx1"/>
            </w14:solidFill>
          </w14:textFill>
        </w:rPr>
        <w:t>《综合医院建设标准》（建标110-2008</w:t>
      </w:r>
      <w:bookmarkEnd w:id="0"/>
      <w:r>
        <w:rPr>
          <w:rFonts w:ascii="Times New Roman" w:hAnsi="Times New Roman" w:eastAsia="宋体"/>
          <w:color w:val="000000" w:themeColor="text1"/>
          <w:sz w:val="28"/>
          <w:szCs w:val="28"/>
          <w:shd w:val="clear" w:color="auto" w:fill="FFFFFF"/>
          <w14:textFill>
            <w14:solidFill>
              <w14:schemeClr w14:val="tx1"/>
            </w14:solidFill>
          </w14:textFill>
        </w:rPr>
        <w:t>），按国家二级甲等综合医院建设，设置498张病床床位。</w:t>
      </w:r>
    </w:p>
    <w:p w14:paraId="5D6FF9C9">
      <w:pPr>
        <w:pStyle w:val="6"/>
        <w:widowControl/>
        <w:shd w:val="clear" w:color="auto" w:fill="FFFFFF"/>
        <w:spacing w:beforeAutospacing="0" w:afterAutospacing="0" w:line="315"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曲靖市沾益区第二人民医院用地规模为53448m2，约为80亩。按《综合医院建设标准》（建标110-2008），建设门诊楼业务用房19254.65㎡；医技楼业务用房11190.69㎡；住院楼业务用房21007.31㎡，其他辅助用房1498.66㎡，合计建筑面积52951.27㎡。计划建设工期为建设期为28个月。</w:t>
      </w:r>
    </w:p>
    <w:p w14:paraId="55CCEB00">
      <w:pPr>
        <w:pStyle w:val="6"/>
        <w:widowControl/>
        <w:shd w:val="clear" w:color="auto" w:fill="FFFFFF"/>
        <w:spacing w:beforeAutospacing="0" w:afterAutospacing="0" w:line="600" w:lineRule="atLeast"/>
        <w:ind w:firstLine="56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2、资金情况</w:t>
      </w:r>
    </w:p>
    <w:p w14:paraId="56235A39">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（1）资金计划情况</w:t>
      </w:r>
    </w:p>
    <w:p w14:paraId="28C3AD57">
      <w:pPr>
        <w:pStyle w:val="6"/>
        <w:widowControl/>
        <w:shd w:val="clear" w:color="auto" w:fill="FFFFFF"/>
        <w:spacing w:beforeAutospacing="0" w:afterAutospacing="0"/>
        <w:ind w:firstLine="560" w:firstLineChars="20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曲靖市沾益区发展和改革委员会于沾发改社会【2017】56号文件下达了曲靖市沾益区第二人民医院新建项目概算总投资25495万元，其中：工程费用18097万元，其他费用6364万元，预备费1034万元。资金来源：80%为省级教育卫生补短板贷款资金，20%为申请省级及地方财政资金。</w:t>
      </w:r>
    </w:p>
    <w:p w14:paraId="3B2FA21A">
      <w:pPr>
        <w:pStyle w:val="6"/>
        <w:widowControl/>
        <w:shd w:val="clear" w:color="auto" w:fill="FFFFFF"/>
        <w:spacing w:beforeAutospacing="0" w:afterAutospacing="0" w:line="580" w:lineRule="atLeast"/>
        <w:ind w:firstLine="56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（2）资金到位情况。</w:t>
      </w:r>
    </w:p>
    <w:p w14:paraId="52716D2B">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至</w:t>
      </w:r>
      <w:r>
        <w:rPr>
          <w:rFonts w:ascii="Times New Roman" w:hAnsi="Times New Roman" w:eastAsia="微软雅黑"/>
          <w:color w:val="000000" w:themeColor="text1"/>
          <w:sz w:val="28"/>
          <w:szCs w:val="28"/>
          <w:shd w:val="clear" w:color="auto" w:fill="FFFFFF"/>
          <w14:textFill>
            <w14:solidFill>
              <w14:schemeClr w14:val="tx1"/>
            </w14:solidFill>
          </w14:textFill>
        </w:rPr>
        <w:t>2023</w:t>
      </w:r>
      <w:r>
        <w:rPr>
          <w:rFonts w:ascii="Times New Roman" w:hAnsi="Times New Roman" w:eastAsia="宋体"/>
          <w:color w:val="000000" w:themeColor="text1"/>
          <w:sz w:val="28"/>
          <w:szCs w:val="28"/>
          <w:shd w:val="clear" w:color="auto" w:fill="FFFFFF"/>
          <w14:textFill>
            <w14:solidFill>
              <w14:schemeClr w14:val="tx1"/>
            </w14:solidFill>
          </w14:textFill>
        </w:rPr>
        <w:t>年</w:t>
      </w:r>
      <w:r>
        <w:rPr>
          <w:rFonts w:ascii="Times New Roman" w:hAnsi="Times New Roman" w:eastAsia="微软雅黑"/>
          <w:color w:val="000000" w:themeColor="text1"/>
          <w:sz w:val="28"/>
          <w:szCs w:val="28"/>
          <w:shd w:val="clear" w:color="auto" w:fill="FFFFFF"/>
          <w14:textFill>
            <w14:solidFill>
              <w14:schemeClr w14:val="tx1"/>
            </w14:solidFill>
          </w14:textFill>
        </w:rPr>
        <w:t>10</w:t>
      </w:r>
      <w:r>
        <w:rPr>
          <w:rFonts w:ascii="Times New Roman" w:hAnsi="Times New Roman" w:eastAsia="宋体"/>
          <w:color w:val="000000" w:themeColor="text1"/>
          <w:sz w:val="28"/>
          <w:szCs w:val="28"/>
          <w:shd w:val="clear" w:color="auto" w:fill="FFFFFF"/>
          <w14:textFill>
            <w14:solidFill>
              <w14:schemeClr w14:val="tx1"/>
            </w14:solidFill>
          </w14:textFill>
        </w:rPr>
        <w:t>月</w:t>
      </w:r>
      <w:r>
        <w:rPr>
          <w:rFonts w:ascii="Times New Roman" w:hAnsi="Times New Roman" w:eastAsia="微软雅黑"/>
          <w:color w:val="000000" w:themeColor="text1"/>
          <w:sz w:val="28"/>
          <w:szCs w:val="28"/>
          <w:shd w:val="clear" w:color="auto" w:fill="FFFFFF"/>
          <w14:textFill>
            <w14:solidFill>
              <w14:schemeClr w14:val="tx1"/>
            </w14:solidFill>
          </w14:textFill>
        </w:rPr>
        <w:t>31</w:t>
      </w:r>
      <w:r>
        <w:rPr>
          <w:rFonts w:ascii="Times New Roman" w:hAnsi="Times New Roman" w:eastAsia="宋体"/>
          <w:color w:val="000000" w:themeColor="text1"/>
          <w:sz w:val="28"/>
          <w:szCs w:val="28"/>
          <w:shd w:val="clear" w:color="auto" w:fill="FFFFFF"/>
          <w14:textFill>
            <w14:solidFill>
              <w14:schemeClr w14:val="tx1"/>
            </w14:solidFill>
          </w14:textFill>
        </w:rPr>
        <w:t>日止，曲靖市沾益区第二人民医院实际到位资金23975.6712万元，其中：国家专项债券资金应到位12000.00万元，设备购置更新改造财政贴息贷款7675.6712万元，自筹资金约4300万元。</w:t>
      </w:r>
    </w:p>
    <w:p w14:paraId="3FA77E6F">
      <w:pPr>
        <w:pStyle w:val="6"/>
        <w:widowControl/>
        <w:shd w:val="clear" w:color="auto" w:fill="FFFFFF"/>
        <w:spacing w:beforeAutospacing="0" w:afterAutospacing="0" w:line="580" w:lineRule="atLeast"/>
        <w:ind w:firstLine="56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（3）资金支出情况。</w:t>
      </w:r>
    </w:p>
    <w:p w14:paraId="7719702F">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至2023年10月31日止，该项目共支出25773.786万元，其国家专项债券11875.6788万元，财政贴息贷款7675.6712万元，单位自筹4303.5187万元（包含沾益区人民医院划拨征地款4000.00万元），设备供应单位垫付资金1918.9178万元。具体使用情况：拨付工程款9843.478万元，拨付征地款4000.00万元，拨付设备购置款9955.789万元，支付专项债券融资费1432.907万元，支付工程建设其他费541.612万元。</w:t>
      </w:r>
    </w:p>
    <w:p w14:paraId="2C1A9BC7">
      <w:pPr>
        <w:pStyle w:val="3"/>
        <w:widowControl/>
        <w:numPr>
          <w:ilvl w:val="0"/>
          <w:numId w:val="1"/>
        </w:numPr>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后评估的内容</w:t>
      </w:r>
    </w:p>
    <w:p w14:paraId="094B8999">
      <w:pPr>
        <w:ind w:firstLine="560" w:firstLineChars="200"/>
        <w:rPr>
          <w:rFonts w:ascii="Times New Roman" w:hAnsi="Times New Roman" w:eastAsia="宋体" w:cs="Times New Roman"/>
          <w:color w:val="000000" w:themeColor="text1"/>
          <w:kern w:val="0"/>
          <w:sz w:val="28"/>
          <w:szCs w:val="28"/>
          <w:shd w:val="clear" w:color="auto" w:fill="FFFFFF"/>
          <w:lang w:bidi="ar"/>
          <w14:textFill>
            <w14:solidFill>
              <w14:schemeClr w14:val="tx1"/>
            </w14:solidFill>
          </w14:textFill>
        </w:rPr>
      </w:pPr>
      <w:r>
        <w:rPr>
          <w:rFonts w:ascii="Times New Roman" w:hAnsi="Times New Roman" w:eastAsia="宋体" w:cs="Times New Roman"/>
          <w:color w:val="000000" w:themeColor="text1"/>
          <w:kern w:val="0"/>
          <w:sz w:val="28"/>
          <w:szCs w:val="28"/>
          <w:shd w:val="clear" w:color="auto" w:fill="FFFFFF"/>
          <w:lang w:bidi="ar"/>
          <w14:textFill>
            <w14:solidFill>
              <w14:schemeClr w14:val="tx1"/>
            </w14:solidFill>
          </w14:textFill>
        </w:rPr>
        <w:t>评估内容包括绩效评估、合法性评估、操作性评估、概算执行情况等内容。</w:t>
      </w:r>
    </w:p>
    <w:p w14:paraId="62FAC782">
      <w:pPr>
        <w:pStyle w:val="3"/>
        <w:widowControl/>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（三）后评估的原则</w:t>
      </w:r>
    </w:p>
    <w:p w14:paraId="41BC06FB">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本次评估遵循客观公正、公开透明、公众参与的原则，</w:t>
      </w:r>
      <w:r>
        <w:rPr>
          <w:rFonts w:ascii="Times New Roman" w:hAnsi="Times New Roman" w:eastAsia="宋体"/>
          <w:color w:val="000000" w:themeColor="text1"/>
          <w:spacing w:val="-4"/>
          <w:sz w:val="28"/>
          <w:szCs w:val="28"/>
          <w:shd w:val="clear" w:color="auto" w:fill="FFFFFF"/>
          <w14:textFill>
            <w14:solidFill>
              <w14:schemeClr w14:val="tx1"/>
            </w14:solidFill>
          </w14:textFill>
        </w:rPr>
        <w:t>突出问题导向，通过调研、分析和评价，找出政府在项目决策管理中存在的问题，</w:t>
      </w:r>
      <w:r>
        <w:rPr>
          <w:rFonts w:ascii="Times New Roman" w:hAnsi="Times New Roman" w:eastAsia="宋体"/>
          <w:color w:val="000000" w:themeColor="text1"/>
          <w:sz w:val="28"/>
          <w:szCs w:val="28"/>
          <w:shd w:val="clear" w:color="auto" w:fill="FFFFFF"/>
          <w14:textFill>
            <w14:solidFill>
              <w14:schemeClr w14:val="tx1"/>
            </w14:solidFill>
          </w14:textFill>
        </w:rPr>
        <w:t>提出优化和改建建议，为改建政府决策和行政管理提供依据。</w:t>
      </w:r>
    </w:p>
    <w:p w14:paraId="44F882E8">
      <w:pPr>
        <w:pStyle w:val="6"/>
        <w:widowControl/>
        <w:spacing w:beforeAutospacing="0" w:afterAutospacing="0"/>
        <w:jc w:val="both"/>
        <w:rPr>
          <w:rFonts w:ascii="Times New Roman" w:hAnsi="Times New Roman"/>
          <w:color w:val="000000" w:themeColor="text1"/>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二、绩效评估</w:t>
      </w:r>
    </w:p>
    <w:p w14:paraId="745D4B6E">
      <w:pPr>
        <w:pStyle w:val="3"/>
        <w:widowControl/>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（一）绩效评估的目的</w:t>
      </w:r>
    </w:p>
    <w:p w14:paraId="53EB7691">
      <w:pPr>
        <w:pStyle w:val="6"/>
        <w:widowControl/>
        <w:shd w:val="clear" w:color="auto" w:fill="FFFFFF"/>
        <w:spacing w:beforeAutospacing="0" w:afterAutospacing="0"/>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本次绩效评价侧重于政策性评价，旨在通过建设项目政府专项债券的决策、管理、预算执行和绩效目标完成情况进行分析，发现决策及项目管理中存在的问题，提出优化和改建建议，加强政府专项债券项目资金管理，提高专项债券资金使用效益，有效防范政府债务风险。</w:t>
      </w:r>
    </w:p>
    <w:p w14:paraId="7B92D7B9">
      <w:pPr>
        <w:pStyle w:val="3"/>
        <w:widowControl/>
        <w:numPr>
          <w:ilvl w:val="0"/>
          <w:numId w:val="2"/>
        </w:numPr>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绩效评估的原则与方法</w:t>
      </w:r>
    </w:p>
    <w:p w14:paraId="29125F9C">
      <w:pPr>
        <w:pStyle w:val="6"/>
        <w:widowControl/>
        <w:shd w:val="clear" w:color="auto" w:fill="FFFFFF"/>
        <w:spacing w:beforeAutospacing="0" w:afterAutospacing="0"/>
        <w:ind w:firstLine="840" w:firstLineChars="30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评价原则。本次评价工作遵循“客观、公正、科学、规范”的基本原则，一是突出问题导向，通过调研、分析和评价，找出专项债券实施过程中存在的问题，纠正偏差，提高专项债券有效性和精准度；二是着眼于资金绩效，重点对资金产出和效果情况进行系统评价。</w:t>
      </w:r>
    </w:p>
    <w:p w14:paraId="6C1B83F8">
      <w:pPr>
        <w:pStyle w:val="6"/>
        <w:widowControl/>
        <w:shd w:val="clear" w:color="auto" w:fill="FFFFFF"/>
        <w:spacing w:beforeAutospacing="0" w:afterAutospacing="0"/>
        <w:ind w:firstLine="560" w:firstLineChars="20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 xml:space="preserve">  2、评价方法。本次绩效评价按照严格的程序、客观的态度，根据相关政策法规的要求，综合运用比较法、成本效益分析法等对专项债券资金进行综合考核评价。按照财政部关于印发《地方政府专项债券项目资金绩效管理办法》的通知（财预〔2021〕61号），绩效评价结果等级划分标准为：四档：90（含）-100分为优、80（含）-90分为良、60（含）-80分为中、60分以下为差。 </w:t>
      </w:r>
    </w:p>
    <w:p w14:paraId="6C5D8F0D">
      <w:pPr>
        <w:pStyle w:val="6"/>
        <w:widowControl/>
        <w:shd w:val="clear" w:color="auto" w:fill="FFFFFF"/>
        <w:spacing w:beforeAutospacing="0" w:afterAutospacing="0"/>
        <w:ind w:firstLine="560" w:firstLineChars="20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color w:val="000000" w:themeColor="text1"/>
          <w:sz w:val="28"/>
          <w:szCs w:val="28"/>
          <w:shd w:val="clear" w:color="auto" w:fill="FFFFFF"/>
          <w14:textFill>
            <w14:solidFill>
              <w14:schemeClr w14:val="tx1"/>
            </w14:solidFill>
          </w14:textFill>
        </w:rPr>
        <w:t>（三）绩效评估的依据</w:t>
      </w:r>
    </w:p>
    <w:p w14:paraId="6C5235EB">
      <w:pPr>
        <w:pStyle w:val="6"/>
        <w:widowControl/>
        <w:shd w:val="clear" w:color="auto" w:fill="FFFFFF"/>
        <w:spacing w:beforeAutospacing="0" w:afterAutospacing="0" w:line="571"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1、绩效管理相关文件。主要包括云南省人民政府关于印发《云南省政府性债务管理办法》的通知（云政发〔2017〕60号）等相关文件规定。</w:t>
      </w:r>
    </w:p>
    <w:p w14:paraId="4E78CCB7">
      <w:pPr>
        <w:pStyle w:val="6"/>
        <w:widowControl/>
        <w:shd w:val="clear" w:color="auto" w:fill="FFFFFF"/>
        <w:spacing w:beforeAutospacing="0" w:afterAutospacing="0"/>
        <w:ind w:firstLine="56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2、政府专项债券资金管理相关文件</w:t>
      </w:r>
      <w:r>
        <w:rPr>
          <w:rFonts w:hint="eastAsia" w:ascii="宋体" w:hAnsi="宋体" w:eastAsia="宋体" w:cs="宋体"/>
          <w:b/>
          <w:bCs/>
          <w:color w:val="000000" w:themeColor="text1"/>
          <w:sz w:val="28"/>
          <w:szCs w:val="28"/>
          <w:shd w:val="clear" w:color="auto" w:fill="FFFFFF"/>
          <w14:textFill>
            <w14:solidFill>
              <w14:schemeClr w14:val="tx1"/>
            </w14:solidFill>
          </w14:textFill>
        </w:rPr>
        <w:t>。</w:t>
      </w:r>
      <w:r>
        <w:rPr>
          <w:rFonts w:ascii="Times New Roman" w:hAnsi="Times New Roman" w:eastAsia="宋体"/>
          <w:color w:val="000000" w:themeColor="text1"/>
          <w:sz w:val="28"/>
          <w:szCs w:val="28"/>
          <w:shd w:val="clear" w:color="auto" w:fill="FFFFFF"/>
          <w14:textFill>
            <w14:solidFill>
              <w14:schemeClr w14:val="tx1"/>
            </w14:solidFill>
          </w14:textFill>
        </w:rPr>
        <w:t>主要包括财政部关于印发《项目支出绩效评价管理办法》的通知（财预〔2020〕10 号）、财政部《地方政府专项债券项目资金绩效管理办法》（财预〔2021〕61号）等相关文件规定。</w:t>
      </w:r>
    </w:p>
    <w:p w14:paraId="4ABCC9B3">
      <w:pPr>
        <w:pStyle w:val="6"/>
        <w:widowControl/>
        <w:shd w:val="clear" w:color="auto" w:fill="FFFFFF"/>
        <w:spacing w:beforeAutospacing="0" w:afterAutospacing="0" w:line="600" w:lineRule="atLeast"/>
        <w:ind w:firstLine="56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3、单位自查材料</w:t>
      </w:r>
      <w:r>
        <w:rPr>
          <w:rFonts w:hint="eastAsia" w:ascii="宋体" w:hAnsi="宋体" w:eastAsia="宋体" w:cs="宋体"/>
          <w:b/>
          <w:bCs/>
          <w:color w:val="000000" w:themeColor="text1"/>
          <w:sz w:val="28"/>
          <w:szCs w:val="28"/>
          <w:shd w:val="clear" w:color="auto" w:fill="FFFFFF"/>
          <w14:textFill>
            <w14:solidFill>
              <w14:schemeClr w14:val="tx1"/>
            </w14:solidFill>
          </w14:textFill>
        </w:rPr>
        <w:t>。</w:t>
      </w:r>
      <w:r>
        <w:rPr>
          <w:rFonts w:ascii="Times New Roman" w:hAnsi="Times New Roman" w:eastAsia="宋体"/>
          <w:color w:val="000000" w:themeColor="text1"/>
          <w:sz w:val="28"/>
          <w:szCs w:val="28"/>
          <w:shd w:val="clear" w:color="auto" w:fill="FFFFFF"/>
          <w14:textFill>
            <w14:solidFill>
              <w14:schemeClr w14:val="tx1"/>
            </w14:solidFill>
          </w14:textFill>
        </w:rPr>
        <w:t>项目单位按照绩效评价工作要求编制的项目自评报告和基础数据表以及其他相关佐证资料等。</w:t>
      </w:r>
    </w:p>
    <w:p w14:paraId="42D59EF3">
      <w:pPr>
        <w:pStyle w:val="6"/>
        <w:widowControl/>
        <w:shd w:val="clear" w:color="auto" w:fill="FFFFFF"/>
        <w:spacing w:beforeAutospacing="0" w:afterAutospacing="0"/>
        <w:ind w:firstLine="56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4、其他涉及资金及项目的相关依据。主要包括政府专项债券项目申报资料、设备购置更新改造财政贴息贷款申报资料等。</w:t>
      </w:r>
    </w:p>
    <w:p w14:paraId="75B0D1A9">
      <w:pPr>
        <w:pStyle w:val="3"/>
        <w:widowControl/>
        <w:numPr>
          <w:ilvl w:val="0"/>
          <w:numId w:val="3"/>
        </w:numPr>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绩效评估的工作过程</w:t>
      </w:r>
    </w:p>
    <w:p w14:paraId="338CF10A">
      <w:pPr>
        <w:pStyle w:val="6"/>
        <w:widowControl/>
        <w:shd w:val="clear" w:color="auto" w:fill="FFFFFF"/>
        <w:spacing w:beforeAutospacing="0" w:afterAutospacing="0"/>
        <w:ind w:firstLine="56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评价设立阶段。从专项债券资金设立的目的出发，围绕专项债券的决策、管理、预算执行和绩效目标完成情况，重点分析专项债券资金投入的合理性、项目管理有效性以及可持续提升等关键问题，将评价指标作为工具；通过指标分析、访谈、问卷数据综合聚焦关键问题。</w:t>
      </w:r>
    </w:p>
    <w:p w14:paraId="09431063">
      <w:pPr>
        <w:pStyle w:val="6"/>
        <w:widowControl/>
        <w:shd w:val="clear" w:color="auto" w:fill="FFFFFF"/>
        <w:spacing w:beforeAutospacing="0" w:afterAutospacing="0" w:line="571" w:lineRule="atLeast"/>
        <w:ind w:firstLine="560"/>
        <w:rPr>
          <w:rStyle w:val="9"/>
          <w:rFonts w:ascii="Times New Roman" w:hAnsi="Times New Roman" w:eastAsia="微软雅黑"/>
          <w:b w:val="0"/>
          <w:color w:val="000000" w:themeColor="text1"/>
          <w:spacing w:val="-4"/>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2、评价实施阶段。评价工作组对曲靖市沾益区第二人民医院提供的资料进行全面梳理、分析和汇总。主要包括数据获取、资料核查、问卷调查，并对项目进行现场勘查</w:t>
      </w:r>
      <w:r>
        <w:rPr>
          <w:rStyle w:val="9"/>
          <w:rFonts w:ascii="Times New Roman" w:hAnsi="Times New Roman" w:eastAsia="微软雅黑"/>
          <w:b w:val="0"/>
          <w:color w:val="000000" w:themeColor="text1"/>
          <w:spacing w:val="-4"/>
          <w:sz w:val="28"/>
          <w:szCs w:val="28"/>
          <w:shd w:val="clear" w:color="auto" w:fill="FFFFFF"/>
          <w14:textFill>
            <w14:solidFill>
              <w14:schemeClr w14:val="tx1"/>
            </w14:solidFill>
          </w14:textFill>
        </w:rPr>
        <w:t>。</w:t>
      </w:r>
    </w:p>
    <w:p w14:paraId="3F8F575A">
      <w:pPr>
        <w:pStyle w:val="3"/>
        <w:widowControl/>
        <w:numPr>
          <w:ilvl w:val="0"/>
          <w:numId w:val="3"/>
        </w:numPr>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绩效评估指标分析</w:t>
      </w:r>
    </w:p>
    <w:p w14:paraId="46F631ED">
      <w:pPr>
        <w:pStyle w:val="6"/>
        <w:widowControl/>
        <w:shd w:val="clear" w:color="auto" w:fill="FFFFFF"/>
        <w:spacing w:beforeAutospacing="0" w:afterAutospacing="0" w:line="600" w:lineRule="atLeast"/>
        <w:ind w:firstLine="643"/>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项目决策指标分析。该项目设立符合国家相关政策和总体规划，设立依据充分，决策程序较为规范，项目完成了勘察、设计、环评、开工许可等前期工作情况，符合专项债券支持领域和方向情况，申报专项债券项目编制了“一案两书”。本指标包含3个二级指标和7个三级指标，共</w:t>
      </w:r>
      <w:r>
        <w:rPr>
          <w:rFonts w:ascii="Times New Roman" w:hAnsi="Times New Roman" w:eastAsia="微软雅黑"/>
          <w:color w:val="000000" w:themeColor="text1"/>
          <w:sz w:val="28"/>
          <w:szCs w:val="28"/>
          <w:shd w:val="clear" w:color="auto" w:fill="FFFFFF"/>
          <w14:textFill>
            <w14:solidFill>
              <w14:schemeClr w14:val="tx1"/>
            </w14:solidFill>
          </w14:textFill>
        </w:rPr>
        <w:t>10</w:t>
      </w:r>
      <w:r>
        <w:rPr>
          <w:rFonts w:ascii="Times New Roman" w:hAnsi="Times New Roman" w:eastAsia="宋体"/>
          <w:color w:val="000000" w:themeColor="text1"/>
          <w:sz w:val="28"/>
          <w:szCs w:val="28"/>
          <w:shd w:val="clear" w:color="auto" w:fill="FFFFFF"/>
          <w14:textFill>
            <w14:solidFill>
              <w14:schemeClr w14:val="tx1"/>
            </w14:solidFill>
          </w14:textFill>
        </w:rPr>
        <w:t>分，得分9分，各项指标详细说明如下：</w:t>
      </w:r>
    </w:p>
    <w:p w14:paraId="19D7642C">
      <w:pPr>
        <w:pStyle w:val="6"/>
        <w:widowControl/>
        <w:shd w:val="clear" w:color="auto" w:fill="FFFFFF"/>
        <w:spacing w:beforeAutospacing="0" w:afterAutospacing="0" w:line="600" w:lineRule="atLeast"/>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    （1）债券资金设立的依据：指标值4分，得分4分。项目符合国家法律法规、行业发展政策，符合国家、省级重大发展战略部署要求，与相关部门同类预算支出没有重复，进行了专项债券项目偿债保障能力分析；项目按规定完成了勘察、设计、用地、环评、开工许可等前期批复程序；项目审批文件、手续符合相关要求，事前已经过必要的可行性研究，程序规范。项目符合专项债券支持领域和方向，编制了“一案两书”。</w:t>
      </w:r>
    </w:p>
    <w:p w14:paraId="7FCAFC20">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（2）债券资金绩效目标：指标值3分，得分3分。项目有具体、明确、可行的绩效目标，项目绩效目标与实际项目预期产出效益和效果符合正常的业绩水平，依据绩效目标设定的绩效指标清晰、细化、可衡量。</w:t>
      </w:r>
    </w:p>
    <w:p w14:paraId="2D738595">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债券资金分配与偿还：指标值3分，得分2分。项目预期偿债资金来源明确，项目偿债资金测算依据，在土地款和医疗设备的投入测算方面有较大缺口，扣1分；在债券存续期内，项目预期总收入能覆盖债券存续期内本息，资金分配额度与项目实施单位实际支出有差距，扣1分。</w:t>
      </w:r>
    </w:p>
    <w:p w14:paraId="154ACF02">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2、项目过程指标分析。项目按规定进行了招标和政府采购，程序及手续合法合规，合同签订及执行规范。项目过程指标包含3个二级指标和11个三级指标，共30分，得分28.5分，各项指标详细说明如下：</w:t>
      </w:r>
      <w:r>
        <w:rPr>
          <w:rFonts w:ascii="Times New Roman" w:hAnsi="Times New Roman" w:eastAsia="宋体"/>
          <w:color w:val="000000" w:themeColor="text1"/>
          <w:sz w:val="28"/>
          <w:szCs w:val="28"/>
          <w:shd w:val="clear" w:color="auto" w:fill="FFFFFF"/>
          <w14:textFill>
            <w14:solidFill>
              <w14:schemeClr w14:val="tx1"/>
            </w14:solidFill>
          </w14:textFill>
        </w:rPr>
        <w:br w:type="textWrapping"/>
      </w:r>
      <w:r>
        <w:rPr>
          <w:rFonts w:ascii="Times New Roman" w:hAnsi="Times New Roman" w:eastAsia="宋体"/>
          <w:color w:val="000000" w:themeColor="text1"/>
          <w:sz w:val="28"/>
          <w:szCs w:val="28"/>
          <w:shd w:val="clear" w:color="auto" w:fill="FFFFFF"/>
          <w14:textFill>
            <w14:solidFill>
              <w14:schemeClr w14:val="tx1"/>
            </w14:solidFill>
          </w14:textFill>
        </w:rPr>
        <w:t>  （1）债券资金管理：指标值10分，得分9.5分。实际到位资金与债券资金相匹配，资金落实情况对债券资金实施的总体保障程度。项目预算资金按照计划执行、资金支出与项目建设进度匹配；债券资金使用符合相关的财务管理制度规定，严格按照预算批复或合同规定的建设范围和用途使用，不存在截留、挤占、挪用、虚列支出等情况；准确编制了项目还本付息计划，不存在使用其他项目对应的项目收益错项偿还到期债券本息情况；专项债券期限与项目建设运营期限匹配度有差距，扣0.5分。</w:t>
      </w:r>
    </w:p>
    <w:p w14:paraId="1CFE447A">
      <w:pPr>
        <w:pStyle w:val="6"/>
        <w:widowControl/>
        <w:shd w:val="clear" w:color="auto" w:fill="FFFFFF"/>
        <w:spacing w:beforeAutospacing="0" w:afterAutospacing="0" w:line="600" w:lineRule="atLeast"/>
        <w:ind w:firstLine="280" w:firstLineChars="10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组织实施：指标值10分，得分10分。项目已制定相应的业务管理制度，管理制度合法、合规、完整，职能分工明确；并有效执行；项目了编制科学合理的项目实施计划；制定相应的项目质量要求或标准；采取了相应的项目质量检查、验收等必需的控制措施或手段；项目招标和政府采购的程序及手续合法合规；合同签订及执行规范；工程及服务的采购需求与项目实际需求吻合,不存在重复或浪费现象。</w:t>
      </w:r>
    </w:p>
    <w:p w14:paraId="18E713F1">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（3）风险控制：指标值10分，得分9分。建立了债务风险动态监测机制，没建立债务风险应对预案和社会稳定风险应对预案，扣1分；对债券资金发行、存续、重大事项、调整用途等进行了信息披露。</w:t>
      </w:r>
    </w:p>
    <w:p w14:paraId="068B08E4">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项目产出指标分析。本项目已于2023年10月建成投入使用，完成门诊楼建设19254.65㎡；医技楼建设11190.69㎡；住院楼建设21007.31㎡，其他辅助用房1498.66㎡。项目产出指标包含4个二级指标和4个三级指标，共40分，得分31分，各项指标详细说明如下：</w:t>
      </w:r>
    </w:p>
    <w:p w14:paraId="10A5CF5C">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（1）产出数量：指标值10分，得分6分。项目施工工程进度滞后影响工期拖延。</w:t>
      </w:r>
    </w:p>
    <w:p w14:paraId="09EA3CA7">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（2）产出质量：指标值10分，得分10分。严格按照设计要求和国家有关规范施工，无施工缺陷计，确保工程质量达到国家验收标准。</w:t>
      </w:r>
    </w:p>
    <w:p w14:paraId="3248DCA6">
      <w:pPr>
        <w:pStyle w:val="11"/>
        <w:ind w:firstLine="560"/>
        <w:rPr>
          <w:rFonts w:ascii="Times New Roman" w:hAnsi="Times New Roman" w:eastAsia="宋体" w:cs="Times New Roman"/>
          <w:color w:val="000000" w:themeColor="text1"/>
          <w:szCs w:val="28"/>
          <w:shd w:val="clear" w:color="auto" w:fill="FFFFFF"/>
          <w14:textFill>
            <w14:solidFill>
              <w14:schemeClr w14:val="tx1"/>
            </w14:solidFill>
          </w14:textFill>
        </w:rPr>
      </w:pPr>
      <w:r>
        <w:rPr>
          <w:rFonts w:ascii="Times New Roman" w:hAnsi="Times New Roman" w:eastAsia="宋体" w:cs="Times New Roman"/>
          <w:color w:val="000000" w:themeColor="text1"/>
          <w:szCs w:val="28"/>
          <w:shd w:val="clear" w:color="auto" w:fill="FFFFFF"/>
          <w14:textFill>
            <w14:solidFill>
              <w14:schemeClr w14:val="tx1"/>
            </w14:solidFill>
          </w14:textFill>
        </w:rPr>
        <w:t>（3）产出时效：指标值10分，得分5分。工期要求总工期计划28个月，具体进度安排为：从2017年1月---2019年5月。因省级补短板项目政策调整，原计划的融资方案得不到落实，导致工程于2018年5月停工。后重新调整融资方案，采用申请国家专项债券与设备购置更新改造财政贴息贷款相结合的融资方案，并于2019年12月成功申报政府专项债券1.2亿元，2020年2月项目正式复工。建设工期调整为2020年2月到2022年6月竣工。2022年10月申请到设备购置更新改造财政贴息贷款，完成医疗设备采购安装。经多方努力，项目于2023年9月建成交付使用。项目拖延工期1年零3个月。扣5分。</w:t>
      </w:r>
    </w:p>
    <w:p w14:paraId="59E32A5C">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4）产出成本：指标值10分，得分0分。建设成本超设计概算10942.42万元，超概比例42.92%，远远大于10%，超概主要原因是：a、土地款5762.45万元概算中没有列入；b、医疗设备款概算中估算不足，导致超概6132.07万元，给后期项目筹融资带来困难，导致今后经营压力大，达不到项目预期目标。扣10分。</w:t>
      </w:r>
    </w:p>
    <w:p w14:paraId="1D295946">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4、效益指标分析。项目的建设可以大大提升医院医疗水平和运营能力，扩大医院业务服务范围，使得医院收益稳定、持续经营能力加强，加速推进沾益区卫生医疗事业的发展，满足人民群众对医疗服务的需求，解决人民群众看病难、看病贵等社会实际问题。效益指标包含5个二级指标和5个三级指标，共20分，得分19分，各项指标详细说明如下：</w:t>
      </w:r>
    </w:p>
    <w:p w14:paraId="53C53D84">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（1）经济效益：指标值8分，得分8分。促进本地医疗及中医药事业的发展，改善医疗就诊环境，提高就医、就诊质量。</w:t>
      </w:r>
    </w:p>
    <w:p w14:paraId="57060F0B">
      <w:pPr>
        <w:pStyle w:val="6"/>
        <w:widowControl/>
        <w:shd w:val="clear" w:color="auto" w:fill="FFFFFF"/>
        <w:spacing w:beforeAutospacing="0" w:afterAutospacing="0" w:line="600" w:lineRule="atLeast"/>
        <w:ind w:firstLine="560" w:firstLineChars="20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（2）社会效益：指标值6分，得分6分。患者就诊效率提高，患者就诊环境、质量、就诊时间效率提高。</w:t>
      </w:r>
    </w:p>
    <w:p w14:paraId="396F02FC">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(3)可持续影响：指标值4分,得分4分。促进周边环境改善计，促进社会的和谐稳定，促进当地经济的可持续发展计。</w:t>
      </w:r>
    </w:p>
    <w:p w14:paraId="5783D378">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(4)服务对象满意度：指标值2分,得分2分。通过问卷调查，社会公众对项目实施效果的满意程度达97%。</w:t>
      </w:r>
    </w:p>
    <w:p w14:paraId="7A74A51A">
      <w:pPr>
        <w:pStyle w:val="3"/>
        <w:widowControl/>
        <w:numPr>
          <w:ilvl w:val="0"/>
          <w:numId w:val="3"/>
        </w:numPr>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绩效评估结论</w:t>
      </w:r>
    </w:p>
    <w:p w14:paraId="130CB62E">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根据绩效评价指标体系及评分标准，通过数据采集、问卷调查及访谈，对曲靖市沾益区第二人民医院新建项目政府专项债券资金绩效进行客观评价，评价结论如下：曲靖市沾益区第二人民医院新建项目专项债券资金决策基本符合政策要求，合理合法，使用有效，管理较规范，对满足人民群众对医疗服务的需求，解决人民群众看病难、看病贵等社会实际问题，对中医药体系的建立和完善，应对突发</w:t>
      </w:r>
      <w:bookmarkStart w:id="6" w:name="_GoBack"/>
      <w:bookmarkEnd w:id="6"/>
      <w:r>
        <w:rPr>
          <w:rFonts w:ascii="Times New Roman" w:hAnsi="Times New Roman" w:eastAsia="宋体"/>
          <w:color w:val="000000" w:themeColor="text1"/>
          <w:sz w:val="28"/>
          <w:szCs w:val="28"/>
          <w:shd w:val="clear" w:color="auto" w:fill="FFFFFF"/>
          <w14:textFill>
            <w14:solidFill>
              <w14:schemeClr w14:val="tx1"/>
            </w14:solidFill>
          </w14:textFill>
        </w:rPr>
        <w:t>公共卫生事件的能力提升发挥着及其重要的作用。根据绩效评价指标体系逐项打分，最终评分结果得分为78.5分，绩效评级为“中”。具体得分情况见附表1</w:t>
      </w:r>
    </w:p>
    <w:p w14:paraId="413E7409">
      <w:pPr>
        <w:pStyle w:val="3"/>
        <w:widowControl/>
        <w:numPr>
          <w:ilvl w:val="0"/>
          <w:numId w:val="3"/>
        </w:numPr>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绩效评估发现的主要问题</w:t>
      </w:r>
    </w:p>
    <w:p w14:paraId="224C7CFA">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项目资金来源未落实。本项目计划总投资25495万元，80%为省级教育卫生补短板贷款资金，20%为申请省级及地方财政资金。本项目2018年4月启动建设，在项目实施过程中，由于省级补短板项目政策调整，导致省级教育卫生补短板贷款资金及申请省级及地方财政资金均未得到落实，致使项目中途停工（2018年5月-2020年2月），直到2019年12月成功申请到政府专项债券资金12000.00万元，使本项目于2020年2月得以复工。2022年10月曲靖市第二人民医院从中国银行申请到设备购置更新改造财政贴息贷款8900万元，用于支付设备采购费用。到目前为止，本项目实际建设投资约36438.22万元，其中：建安投资18317.48万元；设备投资10132.07万元；土地款5762.45万元；待摊投资（融资费）2226.22万元，尚有约10664.42万元资金来源未落实，若要发行新的政府专债筹集建设资金，增加了政府债务。</w:t>
      </w:r>
    </w:p>
    <w:p w14:paraId="7EA63437">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投资估算不足。项目可研报告中，计划投资25495万元，未包括土地款5762.45万元；医疗设备费估计不足，计划投资医疗设备费4000万元，实际购买价10132.07万元，超概算6132.07万元；由于投资估算不足，导致项目资金缺口大。</w:t>
      </w:r>
    </w:p>
    <w:p w14:paraId="0D39E309">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随着曲靖医疗中心建成投入使用，使本项目收入与预期收益增加了不确定性。本项目计划建成后，年医疗收入将达12208.06万元/年；年药品收入235万元/年，合计年营业收入为12443.06万元/年。计划项目运营期间，年均总成本费用11935.74万元/年，收入将以每年3-5%的速度递增，经营期20年，利润总额为26360.40万元，年平均利润总额为1318.02万元。随着曲靖医疗中心建成投入使用，就医人数势必出现分流，导致营业收入达不到预期的数值，造成利润下降，增加偿债风险。</w:t>
      </w:r>
    </w:p>
    <w:p w14:paraId="6DC30A4A">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4、项目建设进度拖后。按计划工期为28个月，从2017年1月---2019年5月建成交付。因省级补短板项目政策调整，原计划的融资方案得不到落实，后调整融资方案，建设工期调整为2020年2月到2022年6月竣工。2022年10月申请到设备购置更新改造财政贴息贷款，完成医疗设备采购安装。经多方努力，项目于2023年9月建成交付使用。项目拖延工期一年零三个月，使项目全生命周期预期收益得不到保障，同时增加建设的工程成本及建设管理成本。</w:t>
      </w:r>
    </w:p>
    <w:p w14:paraId="61385703">
      <w:pPr>
        <w:pStyle w:val="3"/>
        <w:widowControl/>
        <w:shd w:val="clear" w:color="auto" w:fill="FFFFFF"/>
        <w:spacing w:beforeAutospacing="0" w:afterAutospacing="0"/>
        <w:rPr>
          <w:rFonts w:hint="default" w:ascii="Times New Roman" w:hAnsi="Times New Roman"/>
          <w:color w:val="000000" w:themeColor="text1"/>
          <w:sz w:val="28"/>
          <w:szCs w:val="28"/>
          <w:shd w:val="clear" w:color="auto" w:fill="FFFFFF"/>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三、合法性评估</w:t>
      </w:r>
    </w:p>
    <w:p w14:paraId="12CBEE6F">
      <w:pPr>
        <w:pStyle w:val="6"/>
        <w:widowControl/>
        <w:shd w:val="clear" w:color="auto" w:fill="FFFFFF"/>
        <w:spacing w:beforeAutospacing="0" w:afterAutospacing="0" w:line="600" w:lineRule="atLeast"/>
        <w:ind w:firstLine="643"/>
        <w:jc w:val="both"/>
        <w:rPr>
          <w:rFonts w:ascii="Times New Roman" w:hAnsi="Times New Roman" w:eastAsia="宋体"/>
          <w:b/>
          <w:bCs/>
          <w:color w:val="000000" w:themeColor="text1"/>
          <w:sz w:val="28"/>
          <w:szCs w:val="28"/>
          <w:shd w:val="clear" w:color="auto" w:fill="FFFFFF"/>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1、项目立项及审批程序</w:t>
      </w:r>
    </w:p>
    <w:p w14:paraId="717634A3">
      <w:pPr>
        <w:pStyle w:val="6"/>
        <w:widowControl/>
        <w:shd w:val="clear" w:color="auto" w:fill="FFFFFF"/>
        <w:spacing w:beforeAutospacing="0" w:afterAutospacing="0" w:line="600" w:lineRule="atLeast"/>
        <w:ind w:firstLine="643"/>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（1）该项目于2016年12月15日，曲靖市沾益区发展和改革局出具《曲靖市沾益区发展和改 革局关于沾益区第二人民医院建设项目建议书的批复》(沾发改社会[2016]101号),对项目名称、建设单位、建设性质、建设规模及主要内容等作出批复意见。（2）该项目于2016年12月15日，曲靖市住房和城乡建设局、曲靖市发展和改革委员会作出 《关于沾益区第二人民医院新建项目初步设计的批复》(曲建复[2018]7号),对该项目平面布局、房间功能等初步设计进行调整审批。（3）该项目于2017年1月4日，该项目取得《建设项目选址意见书》(选字第530303201700050号)。（4）该项目于2017年1月6日，曲靖市国土资源局沾益分局出具《关于沾益区第二人民医 院建设项目的用地预审意见》(沾国土资源[2017]1号),确认该项目选址符合《沾益县土地利用总体规划(2010-2020年)》。（5）该项目于2017年7月取得《沾益区第二人民医院建设工程规划许可证》(建字第(53030320170059))。（6）该项目于2017年3月1日，曲靖市沾益区发展和改革局作出《曲靖市沾益区发展和改革 局关于转发曲靖市沾益区第二人民医院新建项目可行性研究报告批复的通知》(沾发改社会[2017]31号)。（7）该项目于2017年12月取得《建设用地规划许可证》(地字第(53030320170016)号)。（8）该项目《建设工程规划许可证》于2017 年 7 月由曲靖市规划局沾益分局颁发，（建字第 530303201700059 号）。（9）该项目于2019 年 1 月获得《建筑工程施工许可证》（编号：5303032019010601010110）。（10）该项目于 2019 年 7 月获得曲靖市沾益区人民政府对本项目实施的授权，详见《曲靖市沾益区人民政府关于曲靖市沾益区第二人民医院新建项目实施的授权书》。</w:t>
      </w:r>
    </w:p>
    <w:p w14:paraId="621BD066">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该项目于2017年10月由云南建林工程建设招标造价咨询有限公司代理进行了施工招标，由云南建投第四建设有限公司承建。。同时，设计、监理、全过程造价咨询服务都进行了招标。规划图设计由上海汉丰建筑设计有限公司提供服务；施工图设计由湘潭市规划建筑设计院提供服务；地质勘察由云南地拓勘测设计有限公司提供服务；工程监理由云南天启建设工程咨询有限公司提供服务；全造价咨询服务费由昆明盛发工程造价咨询有限公司提供服务；施工图设计审查由云南省城乡规划设计院提供服务。根据工程施工的需要，对重大风险事项及质量控制建设单位还聘请了实时监测单位和质量检测单位，为工程质量保驾护航。</w:t>
      </w:r>
    </w:p>
    <w:p w14:paraId="05696A80">
      <w:pPr>
        <w:pStyle w:val="6"/>
        <w:widowControl/>
        <w:shd w:val="clear" w:color="auto" w:fill="FFFFFF"/>
        <w:spacing w:beforeAutospacing="0" w:afterAutospacing="0" w:line="580" w:lineRule="atLeast"/>
        <w:ind w:firstLine="560"/>
        <w:jc w:val="both"/>
        <w:rPr>
          <w:rFonts w:ascii="Times New Roman" w:hAnsi="Times New Roman" w:eastAsia="宋体"/>
          <w:b/>
          <w:bCs/>
          <w:color w:val="000000" w:themeColor="text1"/>
          <w:sz w:val="28"/>
          <w:szCs w:val="28"/>
          <w:shd w:val="clear" w:color="auto" w:fill="FFFFFF"/>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2、合法合规性评估</w:t>
      </w:r>
    </w:p>
    <w:p w14:paraId="68F31AF9">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经过查阅资料调查了解综合评估得出：曲靖市沾益区第二人民医院新建项目审批手续齐全，各项程序合法合规。</w:t>
      </w:r>
    </w:p>
    <w:p w14:paraId="41325D9A">
      <w:pPr>
        <w:pStyle w:val="6"/>
        <w:widowControl/>
        <w:shd w:val="clear" w:color="auto" w:fill="FFFFFF"/>
        <w:spacing w:beforeAutospacing="0" w:afterAutospacing="0" w:line="600" w:lineRule="atLeast"/>
        <w:ind w:firstLine="560"/>
        <w:jc w:val="both"/>
        <w:rPr>
          <w:rFonts w:ascii="Times New Roman" w:hAnsi="Times New Roman" w:eastAsia="宋体"/>
          <w:b/>
          <w:bCs/>
          <w:color w:val="000000" w:themeColor="text1"/>
          <w:sz w:val="28"/>
          <w:szCs w:val="28"/>
          <w:shd w:val="clear" w:color="auto" w:fill="FFFFFF"/>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四、操作性评估</w:t>
      </w:r>
    </w:p>
    <w:p w14:paraId="0864035A">
      <w:pPr>
        <w:pStyle w:val="6"/>
        <w:widowControl/>
        <w:shd w:val="clear" w:color="auto" w:fill="FFFFFF"/>
        <w:spacing w:beforeAutospacing="0" w:afterAutospacing="0" w:line="600" w:lineRule="atLeast"/>
        <w:ind w:firstLine="560"/>
        <w:jc w:val="both"/>
        <w:rPr>
          <w:rFonts w:ascii="Times New Roman" w:hAnsi="Times New Roman" w:eastAsia="宋体"/>
          <w:b/>
          <w:bCs/>
          <w:color w:val="000000" w:themeColor="text1"/>
          <w:sz w:val="28"/>
          <w:szCs w:val="28"/>
          <w:shd w:val="clear" w:color="auto" w:fill="FFFFFF"/>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1.项目内控制度</w:t>
      </w:r>
    </w:p>
    <w:p w14:paraId="7A088750">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（1）、项目法人制：曲靖市沾益区第二人民医院新建项目于2019 年 7 月获得曲靖市沾益区人民政府对本项目实施的授权，组建了项目法人，负责对项目实施管理，明确了管理职责。</w:t>
      </w:r>
    </w:p>
    <w:p w14:paraId="5BF35F85">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招标投标制：曲靖市沾益区第二人民医院新建项目通过公开招标及评标，确定了项目的设计、施工、监理等责任主体，履行落实主体责任，加强施工现场质量安全监管。对项目推进过程中的问题进行协商解决，并形成有效规范的会议纪要。</w:t>
      </w:r>
    </w:p>
    <w:p w14:paraId="2A88FE39">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（3）、合同管理制： 曲靖市沾益区第二人民医院分别与各施工单位、监理单位、设计单位等签订了合同，合同要素齐全，合同条款清楚，各方权利义务明确。</w:t>
      </w:r>
    </w:p>
    <w:p w14:paraId="6B24B12B">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（4）、工程监理制：曲靖市沾益区第二人民医院于2017年10月通过公开招投标，由云南天启建设工程咨询有限公司</w:t>
      </w:r>
      <w:bookmarkStart w:id="1" w:name="_Toc1187"/>
      <w:bookmarkEnd w:id="1"/>
      <w:bookmarkStart w:id="2" w:name="_Toc2196"/>
      <w:bookmarkEnd w:id="2"/>
      <w:bookmarkStart w:id="3" w:name="_Toc75872308"/>
      <w:bookmarkEnd w:id="3"/>
      <w:bookmarkStart w:id="4" w:name="_Toc8395"/>
      <w:bookmarkEnd w:id="4"/>
      <w:bookmarkStart w:id="5" w:name="_Toc1145"/>
      <w:bookmarkEnd w:id="5"/>
      <w:r>
        <w:rPr>
          <w:rFonts w:ascii="Times New Roman" w:hAnsi="Times New Roman" w:eastAsia="宋体"/>
          <w:color w:val="000000" w:themeColor="text1"/>
          <w:sz w:val="28"/>
          <w:szCs w:val="28"/>
          <w:shd w:val="clear" w:color="auto" w:fill="FFFFFF"/>
          <w14:textFill>
            <w14:solidFill>
              <w14:schemeClr w14:val="tx1"/>
            </w14:solidFill>
          </w14:textFill>
        </w:rPr>
        <w:t>中标承担该项目监理服务。</w:t>
      </w:r>
    </w:p>
    <w:p w14:paraId="2680C940">
      <w:pPr>
        <w:pStyle w:val="6"/>
        <w:widowControl/>
        <w:shd w:val="clear" w:color="auto" w:fill="FFFFFF"/>
        <w:spacing w:beforeAutospacing="0" w:afterAutospacing="0" w:line="600" w:lineRule="atLeast"/>
        <w:ind w:firstLine="560"/>
        <w:jc w:val="both"/>
        <w:rPr>
          <w:rFonts w:ascii="Times New Roman" w:hAnsi="Times New Roman" w:eastAsia="宋体"/>
          <w:b/>
          <w:bCs/>
          <w:color w:val="000000" w:themeColor="text1"/>
          <w:sz w:val="28"/>
          <w:szCs w:val="28"/>
          <w:shd w:val="clear" w:color="auto" w:fill="FFFFFF"/>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2、操作性评估结论</w:t>
      </w:r>
    </w:p>
    <w:p w14:paraId="64050CA4">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经过查阅资料，曲靖市沾益区第二人民医院项目执行了项目法人制、招标投标制、合同管理制、工程监理制等内控制度，制度执行合理、健全、范性，施工过程中变更手续规范齐全，各项操作依法合规，各项措施高效便民，未发生任何安全事故。但存在项目实施计划工期未按时间节点完成的不合理的情况。</w:t>
      </w:r>
    </w:p>
    <w:p w14:paraId="638981F2">
      <w:pPr>
        <w:pStyle w:val="6"/>
        <w:widowControl/>
        <w:shd w:val="clear" w:color="auto" w:fill="FFFFFF"/>
        <w:spacing w:beforeAutospacing="0" w:afterAutospacing="0" w:line="600" w:lineRule="atLeast"/>
        <w:ind w:firstLine="560"/>
        <w:jc w:val="both"/>
        <w:rPr>
          <w:rFonts w:hint="eastAsia" w:ascii="Times New Roman" w:hAnsi="Times New Roman" w:eastAsia="宋体"/>
          <w:color w:val="000000" w:themeColor="text1"/>
          <w:sz w:val="28"/>
          <w:szCs w:val="28"/>
          <w:shd w:val="clear" w:color="auto" w:fill="FFFFFF"/>
          <w14:textFill>
            <w14:solidFill>
              <w14:schemeClr w14:val="tx1"/>
            </w14:solidFill>
          </w14:textFill>
        </w:rPr>
      </w:pPr>
    </w:p>
    <w:p w14:paraId="30823659">
      <w:pPr>
        <w:pStyle w:val="6"/>
        <w:widowControl/>
        <w:shd w:val="clear" w:color="auto" w:fill="FFFFFF"/>
        <w:spacing w:beforeAutospacing="0" w:afterAutospacing="0" w:line="600" w:lineRule="atLeast"/>
        <w:ind w:firstLine="560"/>
        <w:jc w:val="both"/>
        <w:rPr>
          <w:rFonts w:hint="eastAsia" w:ascii="Times New Roman" w:hAnsi="Times New Roman" w:eastAsia="宋体"/>
          <w:color w:val="000000" w:themeColor="text1"/>
          <w:sz w:val="28"/>
          <w:szCs w:val="28"/>
          <w:shd w:val="clear" w:color="auto" w:fill="FFFFFF"/>
          <w14:textFill>
            <w14:solidFill>
              <w14:schemeClr w14:val="tx1"/>
            </w14:solidFill>
          </w14:textFill>
        </w:rPr>
      </w:pPr>
    </w:p>
    <w:p w14:paraId="77E6E0E3">
      <w:pPr>
        <w:pStyle w:val="6"/>
        <w:widowControl/>
        <w:shd w:val="clear" w:color="auto" w:fill="FFFFFF"/>
        <w:spacing w:beforeAutospacing="0" w:afterAutospacing="0" w:line="60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p>
    <w:p w14:paraId="43B7E222">
      <w:pPr>
        <w:pStyle w:val="6"/>
        <w:widowControl/>
        <w:numPr>
          <w:ilvl w:val="0"/>
          <w:numId w:val="4"/>
        </w:numPr>
        <w:spacing w:beforeAutospacing="0" w:afterAutospacing="0"/>
        <w:jc w:val="both"/>
        <w:rPr>
          <w:rFonts w:ascii="Times New Roman" w:hAnsi="Times New Roman" w:eastAsia="宋体"/>
          <w:b/>
          <w:bCs/>
          <w:color w:val="000000" w:themeColor="text1"/>
          <w:sz w:val="28"/>
          <w:szCs w:val="28"/>
          <w:shd w:val="clear" w:color="auto" w:fill="FFFFFF"/>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概算执行情况评估</w:t>
      </w:r>
    </w:p>
    <w:tbl>
      <w:tblPr>
        <w:tblStyle w:val="7"/>
        <w:tblW w:w="92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809"/>
        <w:gridCol w:w="1575"/>
        <w:gridCol w:w="1575"/>
        <w:gridCol w:w="1632"/>
        <w:gridCol w:w="1425"/>
        <w:gridCol w:w="651"/>
      </w:tblGrid>
      <w:tr w14:paraId="62D1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82" w:type="dxa"/>
            <w:gridSpan w:val="7"/>
            <w:vAlign w:val="center"/>
          </w:tcPr>
          <w:p w14:paraId="43786902">
            <w:pPr>
              <w:widowControl/>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Times New Roman" w:eastAsia="黑体" w:cs="Times New Roman"/>
                <w:b/>
                <w:bCs/>
                <w:color w:val="000000" w:themeColor="text1"/>
                <w:kern w:val="0"/>
                <w:sz w:val="28"/>
                <w:szCs w:val="28"/>
                <w14:textFill>
                  <w14:solidFill>
                    <w14:schemeClr w14:val="tx1"/>
                  </w14:solidFill>
                </w14:textFill>
              </w:rPr>
              <w:t>曲靖市沾益区第二人民医院新建项目概算执行情况对比</w:t>
            </w:r>
            <w:r>
              <w:rPr>
                <w:rFonts w:ascii="Times New Roman" w:hAnsi="Times New Roman" w:eastAsia="黑体" w:cs="Times New Roman"/>
                <w:color w:val="000000" w:themeColor="text1"/>
                <w:kern w:val="0"/>
                <w:sz w:val="28"/>
                <w:szCs w:val="28"/>
                <w14:textFill>
                  <w14:solidFill>
                    <w14:schemeClr w14:val="tx1"/>
                  </w14:solidFill>
                </w14:textFill>
              </w:rPr>
              <w:t>表</w:t>
            </w:r>
          </w:p>
        </w:tc>
      </w:tr>
      <w:tr w14:paraId="7C88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5" w:type="dxa"/>
            <w:vAlign w:val="center"/>
          </w:tcPr>
          <w:p w14:paraId="27232AA5">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项目</w:t>
            </w:r>
          </w:p>
        </w:tc>
        <w:tc>
          <w:tcPr>
            <w:tcW w:w="1809" w:type="dxa"/>
            <w:vAlign w:val="center"/>
          </w:tcPr>
          <w:p w14:paraId="7C0EE9C3">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工程或费用名称</w:t>
            </w:r>
          </w:p>
        </w:tc>
        <w:tc>
          <w:tcPr>
            <w:tcW w:w="1575" w:type="dxa"/>
            <w:vAlign w:val="center"/>
          </w:tcPr>
          <w:p w14:paraId="031034B1">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批准概算金额(万元)</w:t>
            </w:r>
          </w:p>
        </w:tc>
        <w:tc>
          <w:tcPr>
            <w:tcW w:w="1575" w:type="dxa"/>
            <w:vAlign w:val="center"/>
          </w:tcPr>
          <w:p w14:paraId="0A70F05B">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实际完成投资额（万元）</w:t>
            </w:r>
          </w:p>
        </w:tc>
        <w:tc>
          <w:tcPr>
            <w:tcW w:w="1632" w:type="dxa"/>
            <w:vAlign w:val="center"/>
          </w:tcPr>
          <w:p w14:paraId="5D994829">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概算与实际完成相比（万元）+（节约），-（超支）</w:t>
            </w:r>
          </w:p>
        </w:tc>
        <w:tc>
          <w:tcPr>
            <w:tcW w:w="1425" w:type="dxa"/>
            <w:vAlign w:val="center"/>
          </w:tcPr>
          <w:p w14:paraId="77881FBD">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百分比（%）+（节约），-（超支）</w:t>
            </w:r>
          </w:p>
        </w:tc>
        <w:tc>
          <w:tcPr>
            <w:tcW w:w="651" w:type="dxa"/>
            <w:vAlign w:val="center"/>
          </w:tcPr>
          <w:p w14:paraId="6F35B9F4">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备注</w:t>
            </w:r>
          </w:p>
        </w:tc>
      </w:tr>
      <w:tr w14:paraId="6F76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5" w:type="dxa"/>
            <w:vAlign w:val="center"/>
          </w:tcPr>
          <w:p w14:paraId="148B6086">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一</w:t>
            </w:r>
          </w:p>
        </w:tc>
        <w:tc>
          <w:tcPr>
            <w:tcW w:w="1809" w:type="dxa"/>
            <w:vAlign w:val="center"/>
          </w:tcPr>
          <w:p w14:paraId="7647C64F">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工程费用</w:t>
            </w:r>
          </w:p>
        </w:tc>
        <w:tc>
          <w:tcPr>
            <w:tcW w:w="1575" w:type="dxa"/>
            <w:vAlign w:val="center"/>
          </w:tcPr>
          <w:p w14:paraId="000A679C">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18097.28</w:t>
            </w:r>
          </w:p>
        </w:tc>
        <w:tc>
          <w:tcPr>
            <w:tcW w:w="1575" w:type="dxa"/>
            <w:vAlign w:val="center"/>
          </w:tcPr>
          <w:p w14:paraId="5D86FE73">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18317.48</w:t>
            </w:r>
          </w:p>
        </w:tc>
        <w:tc>
          <w:tcPr>
            <w:tcW w:w="1632" w:type="dxa"/>
            <w:vAlign w:val="center"/>
          </w:tcPr>
          <w:p w14:paraId="4D08B7B7">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-220.20　</w:t>
            </w:r>
          </w:p>
        </w:tc>
        <w:tc>
          <w:tcPr>
            <w:tcW w:w="1425" w:type="dxa"/>
            <w:vAlign w:val="center"/>
          </w:tcPr>
          <w:p w14:paraId="1E4EB0C9">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-1.22%</w:t>
            </w:r>
          </w:p>
        </w:tc>
        <w:tc>
          <w:tcPr>
            <w:tcW w:w="651" w:type="dxa"/>
            <w:vAlign w:val="center"/>
          </w:tcPr>
          <w:p w14:paraId="4A60EC02">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0489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15" w:type="dxa"/>
          </w:tcPr>
          <w:p w14:paraId="7E0C7C00">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二</w:t>
            </w:r>
          </w:p>
        </w:tc>
        <w:tc>
          <w:tcPr>
            <w:tcW w:w="1809" w:type="dxa"/>
          </w:tcPr>
          <w:p w14:paraId="1680695A">
            <w:pPr>
              <w:widowControl/>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医疗设备购置费</w:t>
            </w:r>
          </w:p>
        </w:tc>
        <w:tc>
          <w:tcPr>
            <w:tcW w:w="1575" w:type="dxa"/>
            <w:vAlign w:val="center"/>
          </w:tcPr>
          <w:p w14:paraId="1D07327B">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4000.00</w:t>
            </w:r>
          </w:p>
        </w:tc>
        <w:tc>
          <w:tcPr>
            <w:tcW w:w="1575" w:type="dxa"/>
            <w:vAlign w:val="center"/>
          </w:tcPr>
          <w:p w14:paraId="56B7290E">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10132.07</w:t>
            </w:r>
          </w:p>
        </w:tc>
        <w:tc>
          <w:tcPr>
            <w:tcW w:w="1632" w:type="dxa"/>
            <w:vAlign w:val="center"/>
          </w:tcPr>
          <w:p w14:paraId="0762E16B">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-6132.07</w:t>
            </w:r>
          </w:p>
        </w:tc>
        <w:tc>
          <w:tcPr>
            <w:tcW w:w="1425" w:type="dxa"/>
            <w:vAlign w:val="center"/>
          </w:tcPr>
          <w:p w14:paraId="66C21887">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-153.3%</w:t>
            </w:r>
          </w:p>
        </w:tc>
        <w:tc>
          <w:tcPr>
            <w:tcW w:w="651" w:type="dxa"/>
            <w:vAlign w:val="center"/>
          </w:tcPr>
          <w:p w14:paraId="458A7F11">
            <w:pPr>
              <w:widowControl/>
              <w:jc w:val="left"/>
              <w:rPr>
                <w:rFonts w:ascii="Times New Roman" w:hAnsi="Times New Roman" w:cs="Times New Roman"/>
                <w:color w:val="000000" w:themeColor="text1"/>
                <w:kern w:val="0"/>
                <w:sz w:val="24"/>
                <w14:textFill>
                  <w14:solidFill>
                    <w14:schemeClr w14:val="tx1"/>
                  </w14:solidFill>
                </w14:textFill>
              </w:rPr>
            </w:pPr>
          </w:p>
        </w:tc>
      </w:tr>
      <w:tr w14:paraId="4F20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15" w:type="dxa"/>
            <w:vAlign w:val="center"/>
          </w:tcPr>
          <w:p w14:paraId="18A4C3B5">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三</w:t>
            </w:r>
          </w:p>
        </w:tc>
        <w:tc>
          <w:tcPr>
            <w:tcW w:w="1809" w:type="dxa"/>
            <w:vAlign w:val="center"/>
          </w:tcPr>
          <w:p w14:paraId="780ECF0E">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工程建设其他费</w:t>
            </w:r>
          </w:p>
        </w:tc>
        <w:tc>
          <w:tcPr>
            <w:tcW w:w="1575" w:type="dxa"/>
            <w:vAlign w:val="center"/>
          </w:tcPr>
          <w:p w14:paraId="7EBD5231">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869.27</w:t>
            </w:r>
          </w:p>
        </w:tc>
        <w:tc>
          <w:tcPr>
            <w:tcW w:w="1575" w:type="dxa"/>
            <w:vAlign w:val="center"/>
          </w:tcPr>
          <w:p w14:paraId="25071D0F">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793.21</w:t>
            </w:r>
          </w:p>
        </w:tc>
        <w:tc>
          <w:tcPr>
            <w:tcW w:w="1632" w:type="dxa"/>
            <w:vAlign w:val="center"/>
          </w:tcPr>
          <w:p w14:paraId="357B0449">
            <w:pPr>
              <w:widowControl/>
              <w:jc w:val="left"/>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　76.06</w:t>
            </w:r>
          </w:p>
        </w:tc>
        <w:tc>
          <w:tcPr>
            <w:tcW w:w="1425" w:type="dxa"/>
            <w:vAlign w:val="center"/>
          </w:tcPr>
          <w:p w14:paraId="652113FE">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8.75%</w:t>
            </w:r>
          </w:p>
        </w:tc>
        <w:tc>
          <w:tcPr>
            <w:tcW w:w="651" w:type="dxa"/>
            <w:vAlign w:val="center"/>
          </w:tcPr>
          <w:p w14:paraId="4FA860B8">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5544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15" w:type="dxa"/>
            <w:vAlign w:val="center"/>
          </w:tcPr>
          <w:p w14:paraId="5609A7ED">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四</w:t>
            </w:r>
          </w:p>
        </w:tc>
        <w:tc>
          <w:tcPr>
            <w:tcW w:w="1809" w:type="dxa"/>
            <w:vAlign w:val="center"/>
          </w:tcPr>
          <w:p w14:paraId="5FABFE8D">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土地征用费</w:t>
            </w:r>
          </w:p>
        </w:tc>
        <w:tc>
          <w:tcPr>
            <w:tcW w:w="1575" w:type="dxa"/>
            <w:vAlign w:val="center"/>
          </w:tcPr>
          <w:p w14:paraId="5A6315B9">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0.00</w:t>
            </w:r>
          </w:p>
        </w:tc>
        <w:tc>
          <w:tcPr>
            <w:tcW w:w="1575" w:type="dxa"/>
            <w:vAlign w:val="center"/>
          </w:tcPr>
          <w:p w14:paraId="39683F3D">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5762.45</w:t>
            </w:r>
          </w:p>
        </w:tc>
        <w:tc>
          <w:tcPr>
            <w:tcW w:w="1632" w:type="dxa"/>
            <w:vAlign w:val="center"/>
          </w:tcPr>
          <w:p w14:paraId="3DBC5CA4">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-5762.45</w:t>
            </w:r>
          </w:p>
        </w:tc>
        <w:tc>
          <w:tcPr>
            <w:tcW w:w="1425" w:type="dxa"/>
            <w:vAlign w:val="center"/>
          </w:tcPr>
          <w:p w14:paraId="0FCA3B6E">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-100%</w:t>
            </w:r>
          </w:p>
        </w:tc>
        <w:tc>
          <w:tcPr>
            <w:tcW w:w="651" w:type="dxa"/>
            <w:vAlign w:val="center"/>
          </w:tcPr>
          <w:p w14:paraId="112DE1F5">
            <w:pPr>
              <w:widowControl/>
              <w:jc w:val="left"/>
              <w:rPr>
                <w:rFonts w:ascii="Times New Roman" w:hAnsi="Times New Roman" w:cs="Times New Roman"/>
                <w:color w:val="000000" w:themeColor="text1"/>
                <w:kern w:val="0"/>
                <w:sz w:val="24"/>
                <w14:textFill>
                  <w14:solidFill>
                    <w14:schemeClr w14:val="tx1"/>
                  </w14:solidFill>
                </w14:textFill>
              </w:rPr>
            </w:pPr>
          </w:p>
        </w:tc>
      </w:tr>
      <w:tr w14:paraId="3FF9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15" w:type="dxa"/>
            <w:vAlign w:val="center"/>
          </w:tcPr>
          <w:p w14:paraId="57162BB5">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五</w:t>
            </w:r>
          </w:p>
        </w:tc>
        <w:tc>
          <w:tcPr>
            <w:tcW w:w="1809" w:type="dxa"/>
            <w:vAlign w:val="center"/>
          </w:tcPr>
          <w:p w14:paraId="1C89C7CF">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预备费</w:t>
            </w:r>
          </w:p>
        </w:tc>
        <w:tc>
          <w:tcPr>
            <w:tcW w:w="1575" w:type="dxa"/>
            <w:vAlign w:val="center"/>
          </w:tcPr>
          <w:p w14:paraId="4604741D">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1033.93</w:t>
            </w:r>
          </w:p>
        </w:tc>
        <w:tc>
          <w:tcPr>
            <w:tcW w:w="1575" w:type="dxa"/>
            <w:vAlign w:val="center"/>
          </w:tcPr>
          <w:p w14:paraId="26611B0A">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　</w:t>
            </w:r>
          </w:p>
        </w:tc>
        <w:tc>
          <w:tcPr>
            <w:tcW w:w="1632" w:type="dxa"/>
            <w:vAlign w:val="center"/>
          </w:tcPr>
          <w:p w14:paraId="590BBD51">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1033.92　</w:t>
            </w:r>
          </w:p>
        </w:tc>
        <w:tc>
          <w:tcPr>
            <w:tcW w:w="1425" w:type="dxa"/>
            <w:vAlign w:val="center"/>
          </w:tcPr>
          <w:p w14:paraId="29AA1A1F">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100%</w:t>
            </w:r>
          </w:p>
        </w:tc>
        <w:tc>
          <w:tcPr>
            <w:tcW w:w="651" w:type="dxa"/>
            <w:vAlign w:val="center"/>
          </w:tcPr>
          <w:p w14:paraId="1A9792B1">
            <w:pPr>
              <w:widowControl/>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14:paraId="4230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15" w:type="dxa"/>
            <w:vAlign w:val="center"/>
          </w:tcPr>
          <w:p w14:paraId="5B967D54">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六</w:t>
            </w:r>
          </w:p>
        </w:tc>
        <w:tc>
          <w:tcPr>
            <w:tcW w:w="1809" w:type="dxa"/>
            <w:vAlign w:val="center"/>
          </w:tcPr>
          <w:p w14:paraId="406035E0">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建设期贷款利息</w:t>
            </w:r>
          </w:p>
        </w:tc>
        <w:tc>
          <w:tcPr>
            <w:tcW w:w="1575" w:type="dxa"/>
            <w:vAlign w:val="center"/>
          </w:tcPr>
          <w:p w14:paraId="04258033">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1495.23</w:t>
            </w:r>
          </w:p>
        </w:tc>
        <w:tc>
          <w:tcPr>
            <w:tcW w:w="1575" w:type="dxa"/>
            <w:vAlign w:val="center"/>
          </w:tcPr>
          <w:p w14:paraId="6DB55512">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1432.91</w:t>
            </w:r>
          </w:p>
        </w:tc>
        <w:tc>
          <w:tcPr>
            <w:tcW w:w="1632" w:type="dxa"/>
            <w:vAlign w:val="center"/>
          </w:tcPr>
          <w:p w14:paraId="2D4F11D4">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62.32</w:t>
            </w:r>
          </w:p>
        </w:tc>
        <w:tc>
          <w:tcPr>
            <w:tcW w:w="1425" w:type="dxa"/>
            <w:vAlign w:val="center"/>
          </w:tcPr>
          <w:p w14:paraId="7E2B2F50">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4.17%</w:t>
            </w:r>
          </w:p>
        </w:tc>
        <w:tc>
          <w:tcPr>
            <w:tcW w:w="651" w:type="dxa"/>
            <w:vAlign w:val="center"/>
          </w:tcPr>
          <w:p w14:paraId="0BFDBD32">
            <w:pPr>
              <w:widowControl/>
              <w:jc w:val="left"/>
              <w:rPr>
                <w:rFonts w:ascii="Times New Roman" w:hAnsi="Times New Roman" w:cs="Times New Roman"/>
                <w:color w:val="000000" w:themeColor="text1"/>
                <w:kern w:val="0"/>
                <w:sz w:val="24"/>
                <w14:textFill>
                  <w14:solidFill>
                    <w14:schemeClr w14:val="tx1"/>
                  </w14:solidFill>
                </w14:textFill>
              </w:rPr>
            </w:pPr>
          </w:p>
        </w:tc>
      </w:tr>
      <w:tr w14:paraId="5469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15" w:type="dxa"/>
            <w:vAlign w:val="center"/>
          </w:tcPr>
          <w:p w14:paraId="025C88F1">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七</w:t>
            </w:r>
          </w:p>
        </w:tc>
        <w:tc>
          <w:tcPr>
            <w:tcW w:w="1809" w:type="dxa"/>
            <w:vAlign w:val="center"/>
          </w:tcPr>
          <w:p w14:paraId="505F27F1">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项目建设总投资</w:t>
            </w:r>
          </w:p>
        </w:tc>
        <w:tc>
          <w:tcPr>
            <w:tcW w:w="1575" w:type="dxa"/>
            <w:vAlign w:val="center"/>
          </w:tcPr>
          <w:p w14:paraId="71CDF366">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25495.71</w:t>
            </w:r>
          </w:p>
        </w:tc>
        <w:tc>
          <w:tcPr>
            <w:tcW w:w="1575" w:type="dxa"/>
            <w:vAlign w:val="center"/>
          </w:tcPr>
          <w:p w14:paraId="1DF94F8E">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36438.12</w:t>
            </w:r>
          </w:p>
        </w:tc>
        <w:tc>
          <w:tcPr>
            <w:tcW w:w="1632" w:type="dxa"/>
            <w:vAlign w:val="center"/>
          </w:tcPr>
          <w:p w14:paraId="4620045D">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-10942.42</w:t>
            </w:r>
          </w:p>
        </w:tc>
        <w:tc>
          <w:tcPr>
            <w:tcW w:w="1425" w:type="dxa"/>
            <w:vAlign w:val="center"/>
          </w:tcPr>
          <w:p w14:paraId="459E26C5">
            <w:pPr>
              <w:widowControl/>
              <w:jc w:val="center"/>
              <w:rPr>
                <w:rFonts w:ascii="Times New Roman" w:hAnsi="Times New Roman" w:cs="Times New Roman"/>
                <w:b/>
                <w:bCs/>
                <w:color w:val="000000" w:themeColor="text1"/>
                <w:kern w:val="0"/>
                <w:sz w:val="24"/>
                <w14:textFill>
                  <w14:solidFill>
                    <w14:schemeClr w14:val="tx1"/>
                  </w14:solidFill>
                </w14:textFill>
              </w:rPr>
            </w:pPr>
            <w:r>
              <w:rPr>
                <w:rFonts w:ascii="Times New Roman" w:hAnsi="Times New Roman" w:cs="Times New Roman"/>
                <w:b/>
                <w:bCs/>
                <w:color w:val="000000" w:themeColor="text1"/>
                <w:kern w:val="0"/>
                <w:sz w:val="24"/>
                <w14:textFill>
                  <w14:solidFill>
                    <w14:schemeClr w14:val="tx1"/>
                  </w14:solidFill>
                </w14:textFill>
              </w:rPr>
              <w:t>-42.92%</w:t>
            </w:r>
          </w:p>
        </w:tc>
        <w:tc>
          <w:tcPr>
            <w:tcW w:w="651" w:type="dxa"/>
            <w:vAlign w:val="center"/>
          </w:tcPr>
          <w:p w14:paraId="34058FF3">
            <w:pPr>
              <w:widowControl/>
              <w:jc w:val="left"/>
              <w:rPr>
                <w:rFonts w:ascii="Times New Roman" w:hAnsi="Times New Roman" w:cs="Times New Roman"/>
                <w:color w:val="000000" w:themeColor="text1"/>
                <w:kern w:val="0"/>
                <w:sz w:val="24"/>
                <w14:textFill>
                  <w14:solidFill>
                    <w14:schemeClr w14:val="tx1"/>
                  </w14:solidFill>
                </w14:textFill>
              </w:rPr>
            </w:pPr>
          </w:p>
        </w:tc>
      </w:tr>
    </w:tbl>
    <w:p w14:paraId="7D2C88A7">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 xml:space="preserve"> 由上表可以看出：曲靖市沾益区第二人民医院新建项目批准概算总投资25495.71万元。其中：建安工程费用18097.28万元，医疗设备购置费4000万元，工程建设其它费869.27万元，土地费不计，预备费1033.93万元）；建设期贷款利息1495.23万元。实际完成投资36438.12万元，其中：建安工程费用18317.48万元，医疗设备购置费10132.07万元，工程建设其它费793.21万元，土地费5762.45万元）；建设期贷款利息1432.91万元。超概算42.92%，其中：医疗设备购置费超概算153.3% ，土地征用费超概算100%，严重超出国家相关规定。超出概算的主要原因是：（1）投资估算不足，没有考虑土地费。（2）设备费估算不足。</w:t>
      </w:r>
    </w:p>
    <w:p w14:paraId="2822AF6F">
      <w:pPr>
        <w:pStyle w:val="6"/>
        <w:widowControl/>
        <w:shd w:val="clear" w:color="auto" w:fill="FFFFFF"/>
        <w:spacing w:beforeAutospacing="0" w:afterAutospacing="0" w:line="580" w:lineRule="atLeast"/>
        <w:ind w:firstLine="560"/>
        <w:jc w:val="both"/>
        <w:rPr>
          <w:rFonts w:hint="eastAsia" w:ascii="Times New Roman" w:hAnsi="Times New Roman" w:eastAsia="宋体"/>
          <w:color w:val="000000" w:themeColor="text1"/>
          <w:sz w:val="28"/>
          <w:szCs w:val="28"/>
          <w:shd w:val="clear" w:color="auto" w:fill="FFFFFF"/>
          <w14:textFill>
            <w14:solidFill>
              <w14:schemeClr w14:val="tx1"/>
            </w14:solidFill>
          </w14:textFill>
        </w:rPr>
      </w:pPr>
    </w:p>
    <w:p w14:paraId="5CEF80BF">
      <w:pPr>
        <w:pStyle w:val="6"/>
        <w:widowControl/>
        <w:shd w:val="clear" w:color="auto" w:fill="FFFFFF"/>
        <w:spacing w:beforeAutospacing="0" w:afterAutospacing="0" w:line="580" w:lineRule="atLeas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p>
    <w:p w14:paraId="2744B9C3">
      <w:pPr>
        <w:pStyle w:val="6"/>
        <w:widowControl/>
        <w:shd w:val="clear" w:color="auto" w:fill="FFFFFF"/>
        <w:spacing w:beforeAutospacing="0" w:afterAutospacing="0" w:line="579" w:lineRule="exact"/>
        <w:ind w:firstLine="562"/>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b/>
          <w:bCs/>
          <w:color w:val="000000" w:themeColor="text1"/>
          <w:sz w:val="28"/>
          <w:szCs w:val="28"/>
          <w:shd w:val="clear" w:color="auto" w:fill="FFFFFF"/>
          <w14:textFill>
            <w14:solidFill>
              <w14:schemeClr w14:val="tx1"/>
            </w14:solidFill>
          </w14:textFill>
        </w:rPr>
        <w:t>六、有关建议措施</w:t>
      </w:r>
    </w:p>
    <w:p w14:paraId="0E196069">
      <w:pPr>
        <w:pStyle w:val="6"/>
        <w:widowControl/>
        <w:shd w:val="clear" w:color="auto" w:fill="FFFFFF"/>
        <w:spacing w:beforeAutospacing="0" w:afterAutospacing="0" w:line="579" w:lineRule="exac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按照</w:t>
      </w:r>
      <w:r>
        <w:fldChar w:fldCharType="begin"/>
      </w:r>
      <w:r>
        <w:instrText xml:space="preserve"> HYPERLINK "https://www.waizi.org.cn/file/64221.html" \t "https://www.waizi.org.cn/file/_blank" \o "《中共中央办公厅国务院办公厅关于做好地方政府专项债券发行及项目配套融资工作的通知》（全文）" </w:instrText>
      </w:r>
      <w:r>
        <w:fldChar w:fldCharType="separate"/>
      </w:r>
      <w:r>
        <w:rPr>
          <w:rFonts w:ascii="Times New Roman" w:hAnsi="Times New Roman" w:eastAsia="宋体"/>
          <w:color w:val="000000" w:themeColor="text1"/>
          <w:sz w:val="28"/>
          <w:szCs w:val="28"/>
          <w:shd w:val="clear" w:color="auto" w:fill="FFFFFF"/>
          <w14:textFill>
            <w14:solidFill>
              <w14:schemeClr w14:val="tx1"/>
            </w14:solidFill>
          </w14:textFill>
        </w:rPr>
        <w:t>中共中央办公厅国务院办公厅《关于做好地方政府专项债券发行及项目配套融资工作的通知</w:t>
      </w:r>
      <w:r>
        <w:rPr>
          <w:rFonts w:ascii="Times New Roman" w:hAnsi="Times New Roman" w:eastAsia="宋体"/>
          <w:color w:val="000000" w:themeColor="text1"/>
          <w:sz w:val="28"/>
          <w:szCs w:val="28"/>
          <w:shd w:val="clear" w:color="auto" w:fill="FFFFFF"/>
          <w14:textFill>
            <w14:solidFill>
              <w14:schemeClr w14:val="tx1"/>
            </w14:solidFill>
          </w14:textFill>
        </w:rPr>
        <w:fldChar w:fldCharType="end"/>
      </w:r>
      <w:r>
        <w:rPr>
          <w:rFonts w:ascii="Times New Roman" w:hAnsi="Times New Roman" w:eastAsia="宋体"/>
          <w:color w:val="000000" w:themeColor="text1"/>
          <w:sz w:val="28"/>
          <w:szCs w:val="28"/>
          <w:shd w:val="clear" w:color="auto" w:fill="FFFFFF"/>
          <w14:textFill>
            <w14:solidFill>
              <w14:schemeClr w14:val="tx1"/>
            </w14:solidFill>
          </w14:textFill>
        </w:rPr>
        <w:t>》厅字2019（33）号文件精神，坚持防控风险，坚持举债要同偿债能力相匹配。专项债券必须用于有一定收益的重大项目，融资规模要保持与项目收益相平衡。</w:t>
      </w:r>
    </w:p>
    <w:p w14:paraId="1DF6395E">
      <w:pPr>
        <w:pStyle w:val="6"/>
        <w:widowControl/>
        <w:shd w:val="clear" w:color="auto" w:fill="FFFFFF"/>
        <w:spacing w:beforeAutospacing="0" w:afterAutospacing="0" w:line="579" w:lineRule="exac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1、项目建设资金来源要落实，融资方案要确定，如遇到政策性变化应由备选方案。</w:t>
      </w:r>
    </w:p>
    <w:p w14:paraId="29CCE1F1">
      <w:pPr>
        <w:pStyle w:val="6"/>
        <w:widowControl/>
        <w:shd w:val="clear" w:color="auto" w:fill="FFFFFF"/>
        <w:spacing w:beforeAutospacing="0" w:afterAutospacing="0" w:line="579" w:lineRule="exac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2、投资估算方案应摸清实情，宽打窄用，做到打由准备之仗。</w:t>
      </w:r>
    </w:p>
    <w:p w14:paraId="12BADA62">
      <w:pPr>
        <w:pStyle w:val="6"/>
        <w:widowControl/>
        <w:shd w:val="clear" w:color="auto" w:fill="FFFFFF"/>
        <w:spacing w:beforeAutospacing="0" w:afterAutospacing="0" w:line="579" w:lineRule="exac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充分考虑所有建设成本，在资金不足的情况下，建议压缩建设规模。可研报告要把建设期所有建设成本考虑进去，在融资不能完成所有工程的情况下，建议压缩建设规模，以保证项目按时完工，尽早投入使用。</w:t>
      </w:r>
    </w:p>
    <w:p w14:paraId="5AA3851D">
      <w:pPr>
        <w:pStyle w:val="6"/>
        <w:widowControl/>
        <w:shd w:val="clear" w:color="auto" w:fill="FFFFFF"/>
        <w:spacing w:beforeAutospacing="0" w:afterAutospacing="0" w:line="579" w:lineRule="exac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3、及时拨付专项债资金，以保证工程建设需要。</w:t>
      </w:r>
    </w:p>
    <w:p w14:paraId="53CEA7D2">
      <w:pPr>
        <w:pStyle w:val="6"/>
        <w:widowControl/>
        <w:shd w:val="clear" w:color="auto" w:fill="FFFFFF"/>
        <w:spacing w:beforeAutospacing="0" w:afterAutospacing="0" w:line="579" w:lineRule="exac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4、项目收益与成本预测要与财务数据相衔接。</w:t>
      </w:r>
    </w:p>
    <w:p w14:paraId="2C78F14B">
      <w:pPr>
        <w:pStyle w:val="6"/>
        <w:widowControl/>
        <w:shd w:val="clear" w:color="auto" w:fill="FFFFFF"/>
        <w:spacing w:beforeAutospacing="0" w:afterAutospacing="0" w:line="579" w:lineRule="exac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5、督促施工单位加派作业班组及人员，合理优化方案，做到按期建成交工。</w:t>
      </w:r>
    </w:p>
    <w:p w14:paraId="2667628C">
      <w:pPr>
        <w:pStyle w:val="2"/>
        <w:widowControl/>
        <w:shd w:val="clear" w:color="auto" w:fill="FFFFFF"/>
        <w:spacing w:beforeAutospacing="0" w:afterAutospacing="0" w:line="579" w:lineRule="exact"/>
        <w:rPr>
          <w:rFonts w:hint="default" w:ascii="Times New Roman" w:hAnsi="Times New Roman" w:eastAsia="微软雅黑"/>
          <w:color w:val="000000" w:themeColor="text1"/>
          <w:sz w:val="21"/>
          <w:szCs w:val="21"/>
          <w14:textFill>
            <w14:solidFill>
              <w14:schemeClr w14:val="tx1"/>
            </w14:solidFill>
          </w14:textFill>
        </w:rPr>
      </w:pPr>
      <w:r>
        <w:rPr>
          <w:rFonts w:hint="default" w:ascii="Times New Roman" w:hAnsi="Times New Roman"/>
          <w:color w:val="000000" w:themeColor="text1"/>
          <w:sz w:val="28"/>
          <w:szCs w:val="28"/>
          <w:shd w:val="clear" w:color="auto" w:fill="FFFFFF"/>
          <w14:textFill>
            <w14:solidFill>
              <w14:schemeClr w14:val="tx1"/>
            </w14:solidFill>
          </w14:textFill>
        </w:rPr>
        <w:t> 七</w:t>
      </w:r>
      <w:r>
        <w:rPr>
          <w:rFonts w:hint="default" w:ascii="Times New Roman" w:hAnsi="Times New Roman" w:eastAsia="黑体"/>
          <w:color w:val="000000" w:themeColor="text1"/>
          <w:sz w:val="32"/>
          <w:szCs w:val="32"/>
          <w:shd w:val="clear" w:color="auto" w:fill="FFFFFF"/>
          <w14:textFill>
            <w14:solidFill>
              <w14:schemeClr w14:val="tx1"/>
            </w14:solidFill>
          </w14:textFill>
        </w:rPr>
        <w:t>、其他说明</w:t>
      </w:r>
    </w:p>
    <w:p w14:paraId="1B5EE76F">
      <w:pPr>
        <w:pStyle w:val="6"/>
        <w:widowControl/>
        <w:shd w:val="clear" w:color="auto" w:fill="FFFFFF"/>
        <w:spacing w:beforeAutospacing="0" w:afterAutospacing="0" w:line="579" w:lineRule="exact"/>
        <w:ind w:firstLine="560"/>
        <w:jc w:val="both"/>
        <w:rPr>
          <w:rFonts w:hint="eastAsia" w:ascii="Times New Roman" w:hAnsi="Times New Roman" w:eastAsia="宋体"/>
          <w:color w:val="000000" w:themeColor="text1"/>
          <w:sz w:val="28"/>
          <w:szCs w:val="28"/>
          <w:shd w:val="clear" w:color="auto" w:fill="FFFFFF"/>
          <w14:textFill>
            <w14:solidFill>
              <w14:schemeClr w14:val="tx1"/>
            </w14:solidFill>
          </w14:textFill>
        </w:rPr>
      </w:pPr>
      <w:r>
        <w:rPr>
          <w:rFonts w:ascii="Times New Roman" w:hAnsi="Times New Roman" w:eastAsia="宋体"/>
          <w:color w:val="000000" w:themeColor="text1"/>
          <w:sz w:val="28"/>
          <w:szCs w:val="28"/>
          <w:shd w:val="clear" w:color="auto" w:fill="FFFFFF"/>
          <w14:textFill>
            <w14:solidFill>
              <w14:schemeClr w14:val="tx1"/>
            </w14:solidFill>
          </w14:textFill>
        </w:rPr>
        <w:t>截至现场评价工作结束，项目已投入使用，但工程建设费未最终审定，投资完成额无法准确衡量，另外，项目投入使用的时间较短，未来产生的主要效益暂时无法得到准确评判，因此，本次绩效评价具有一定局限性。如有必要，可在项目运营1年后开展绩效复评。</w:t>
      </w:r>
    </w:p>
    <w:p w14:paraId="155A5413">
      <w:pPr>
        <w:pStyle w:val="6"/>
        <w:widowControl/>
        <w:shd w:val="clear" w:color="auto" w:fill="FFFFFF"/>
        <w:spacing w:beforeAutospacing="0" w:afterAutospacing="0" w:line="579" w:lineRule="exact"/>
        <w:ind w:firstLine="560"/>
        <w:jc w:val="both"/>
        <w:rPr>
          <w:rFonts w:ascii="Times New Roman" w:hAnsi="Times New Roman" w:eastAsia="宋体"/>
          <w:color w:val="000000" w:themeColor="text1"/>
          <w:sz w:val="28"/>
          <w:szCs w:val="28"/>
          <w:shd w:val="clear" w:color="auto" w:fill="FFFFFF"/>
          <w14:textFill>
            <w14:solidFill>
              <w14:schemeClr w14:val="tx1"/>
            </w14:solidFill>
          </w14:textFill>
        </w:rPr>
      </w:pPr>
    </w:p>
    <w:p w14:paraId="0625B7CF">
      <w:pPr>
        <w:pStyle w:val="6"/>
        <w:widowControl/>
        <w:shd w:val="clear" w:color="auto" w:fill="FFFFFF"/>
        <w:spacing w:beforeAutospacing="0" w:afterAutospacing="0" w:line="579" w:lineRule="exact"/>
        <w:ind w:firstLine="3840"/>
        <w:rPr>
          <w:rFonts w:ascii="Times New Roman" w:hAnsi="Times New Roman"/>
          <w:b w:val="0"/>
          <w:bCs w:val="0"/>
          <w:color w:val="000000" w:themeColor="text1"/>
          <w:sz w:val="21"/>
          <w:szCs w:val="21"/>
          <w14:textFill>
            <w14:solidFill>
              <w14:schemeClr w14:val="tx1"/>
            </w14:solidFill>
          </w14:textFill>
        </w:rPr>
      </w:pPr>
      <w:r>
        <w:rPr>
          <w:rFonts w:ascii="Times New Roman" w:hAnsi="Times New Roman" w:eastAsia="仿宋"/>
          <w:b w:val="0"/>
          <w:bCs w:val="0"/>
          <w:color w:val="000000" w:themeColor="text1"/>
          <w:sz w:val="32"/>
          <w:szCs w:val="32"/>
          <w:shd w:val="clear" w:color="auto" w:fill="FFFFFF"/>
          <w14:textFill>
            <w14:solidFill>
              <w14:schemeClr w14:val="tx1"/>
            </w14:solidFill>
          </w14:textFill>
        </w:rPr>
        <w:t>二</w:t>
      </w:r>
      <w:r>
        <w:rPr>
          <w:rFonts w:hint="eastAsia" w:ascii="Times New Roman" w:hAnsi="Times New Roman" w:eastAsia="微软雅黑"/>
          <w:b w:val="0"/>
          <w:bCs w:val="0"/>
          <w:color w:val="000000" w:themeColor="text1"/>
          <w:sz w:val="32"/>
          <w:szCs w:val="32"/>
          <w:shd w:val="clear" w:color="auto" w:fill="FFFFFF"/>
          <w:lang w:val="en-US" w:eastAsia="zh-CN"/>
          <w14:textFill>
            <w14:solidFill>
              <w14:schemeClr w14:val="tx1"/>
            </w14:solidFill>
          </w14:textFill>
        </w:rPr>
        <w:t>O</w:t>
      </w:r>
      <w:r>
        <w:rPr>
          <w:rFonts w:ascii="Times New Roman" w:hAnsi="Times New Roman" w:eastAsia="仿宋"/>
          <w:b w:val="0"/>
          <w:bCs w:val="0"/>
          <w:color w:val="000000" w:themeColor="text1"/>
          <w:sz w:val="32"/>
          <w:szCs w:val="32"/>
          <w:shd w:val="clear" w:color="auto" w:fill="FFFFFF"/>
          <w14:textFill>
            <w14:solidFill>
              <w14:schemeClr w14:val="tx1"/>
            </w14:solidFill>
          </w14:textFill>
        </w:rPr>
        <w:t>二三年十一月九日</w:t>
      </w:r>
    </w:p>
    <w:p w14:paraId="3AB0DBF0">
      <w:pPr>
        <w:pStyle w:val="6"/>
        <w:widowControl/>
        <w:shd w:val="clear" w:color="auto" w:fill="FFFFFF"/>
        <w:spacing w:beforeAutospacing="0" w:afterAutospacing="0"/>
        <w:rPr>
          <w:rFonts w:ascii="Times New Roman" w:hAnsi="Times New Roman" w:eastAsia="仿宋"/>
          <w:b w:val="0"/>
          <w:bCs w:val="0"/>
          <w:color w:val="000000" w:themeColor="text1"/>
          <w:sz w:val="32"/>
          <w:szCs w:val="32"/>
          <w:shd w:val="clear" w:color="auto" w:fill="FFFFFF"/>
          <w14:textFill>
            <w14:solidFill>
              <w14:schemeClr w14:val="tx1"/>
            </w14:solidFill>
          </w14:textFill>
        </w:rPr>
      </w:pPr>
    </w:p>
    <w:p w14:paraId="26963D0C">
      <w:pPr>
        <w:pStyle w:val="6"/>
        <w:widowControl/>
        <w:shd w:val="clear" w:color="auto" w:fill="FFFFFF"/>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 附件</w:t>
      </w:r>
      <w:r>
        <w:rPr>
          <w:rFonts w:ascii="Times New Roman" w:hAnsi="Times New Roman" w:eastAsia="微软雅黑"/>
          <w:color w:val="000000" w:themeColor="text1"/>
          <w:sz w:val="32"/>
          <w:szCs w:val="32"/>
          <w:shd w:val="clear" w:color="auto" w:fill="FFFFFF"/>
          <w14:textFill>
            <w14:solidFill>
              <w14:schemeClr w14:val="tx1"/>
            </w14:solidFill>
          </w14:textFill>
        </w:rPr>
        <w:t>1 </w:t>
      </w:r>
    </w:p>
    <w:p w14:paraId="16098420">
      <w:pPr>
        <w:pStyle w:val="6"/>
        <w:widowControl/>
        <w:shd w:val="clear" w:color="auto" w:fill="FFFFFF"/>
        <w:spacing w:beforeAutospacing="0" w:afterAutospacing="0"/>
        <w:jc w:val="center"/>
        <w:rPr>
          <w:rFonts w:ascii="Times New Roman" w:hAnsi="Times New Roman"/>
          <w:color w:val="000000" w:themeColor="text1"/>
          <w:sz w:val="32"/>
          <w:szCs w:val="32"/>
          <w14:textFill>
            <w14:solidFill>
              <w14:schemeClr w14:val="tx1"/>
            </w14:solidFill>
          </w14:textFill>
        </w:rPr>
      </w:pPr>
      <w:r>
        <w:rPr>
          <w:rFonts w:ascii="Times New Roman" w:hAnsi="Times New Roman" w:eastAsia="宋体"/>
          <w:color w:val="000000" w:themeColor="text1"/>
          <w:sz w:val="32"/>
          <w:szCs w:val="32"/>
          <w:shd w:val="clear" w:color="auto" w:fill="FFFFFF"/>
          <w14:textFill>
            <w14:solidFill>
              <w14:schemeClr w14:val="tx1"/>
            </w14:solidFill>
          </w14:textFill>
        </w:rPr>
        <w:t>政府专项债券资金绩效评价指标评分表</w:t>
      </w:r>
    </w:p>
    <w:p w14:paraId="1CE91EF9">
      <w:pPr>
        <w:pStyle w:val="6"/>
        <w:widowControl/>
        <w:shd w:val="clear" w:color="auto" w:fill="FFFFFF"/>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宋体"/>
          <w:color w:val="000000" w:themeColor="text1"/>
          <w:sz w:val="36"/>
          <w:szCs w:val="36"/>
          <w:shd w:val="clear" w:color="auto" w:fill="FFFFFF"/>
          <w14:textFill>
            <w14:solidFill>
              <w14:schemeClr w14:val="tx1"/>
            </w14:solidFill>
          </w14:textFill>
        </w:rPr>
        <w:t> </w:t>
      </w:r>
    </w:p>
    <w:tbl>
      <w:tblPr>
        <w:tblStyle w:val="7"/>
        <w:tblW w:w="5556" w:type="pct"/>
        <w:jc w:val="center"/>
        <w:tblLayout w:type="fixed"/>
        <w:tblCellMar>
          <w:top w:w="0" w:type="dxa"/>
          <w:left w:w="0" w:type="dxa"/>
          <w:bottom w:w="0" w:type="dxa"/>
          <w:right w:w="0" w:type="dxa"/>
        </w:tblCellMar>
      </w:tblPr>
      <w:tblGrid>
        <w:gridCol w:w="827"/>
        <w:gridCol w:w="636"/>
        <w:gridCol w:w="845"/>
        <w:gridCol w:w="2207"/>
        <w:gridCol w:w="525"/>
        <w:gridCol w:w="2943"/>
        <w:gridCol w:w="519"/>
        <w:gridCol w:w="968"/>
      </w:tblGrid>
      <w:tr w14:paraId="5D4383E2">
        <w:tblPrEx>
          <w:tblCellMar>
            <w:top w:w="0" w:type="dxa"/>
            <w:left w:w="0" w:type="dxa"/>
            <w:bottom w:w="0" w:type="dxa"/>
            <w:right w:w="0" w:type="dxa"/>
          </w:tblCellMar>
        </w:tblPrEx>
        <w:trPr>
          <w:trHeight w:val="1446" w:hRule="atLeast"/>
          <w:tblHeade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DC11CC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一级</w:t>
            </w:r>
            <w:r>
              <w:rPr>
                <w:rFonts w:ascii="Times New Roman" w:hAnsi="Times New Roman" w:eastAsia="å¾®è½¯é›…é»‘"/>
                <w:b/>
                <w:bCs/>
                <w:color w:val="000000" w:themeColor="text1"/>
                <w14:textFill>
                  <w14:solidFill>
                    <w14:schemeClr w14:val="tx1"/>
                  </w14:solidFill>
                </w14:textFill>
              </w:rPr>
              <w:br w:type="textWrapping"/>
            </w:r>
            <w:r>
              <w:rPr>
                <w:rFonts w:ascii="Times New Roman" w:hAnsi="Times New Roman" w:eastAsia="仿宋"/>
                <w:b/>
                <w:bCs/>
                <w:color w:val="000000" w:themeColor="text1"/>
                <w14:textFill>
                  <w14:solidFill>
                    <w14:schemeClr w14:val="tx1"/>
                  </w14:solidFill>
                </w14:textFill>
              </w:rPr>
              <w:t>指标</w:t>
            </w:r>
          </w:p>
        </w:tc>
        <w:tc>
          <w:tcPr>
            <w:tcW w:w="33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5F575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二级</w:t>
            </w:r>
            <w:r>
              <w:rPr>
                <w:rFonts w:ascii="Times New Roman" w:hAnsi="Times New Roman" w:eastAsia="å¾®è½¯é›…é»‘"/>
                <w:b/>
                <w:bCs/>
                <w:color w:val="000000" w:themeColor="text1"/>
                <w14:textFill>
                  <w14:solidFill>
                    <w14:schemeClr w14:val="tx1"/>
                  </w14:solidFill>
                </w14:textFill>
              </w:rPr>
              <w:br w:type="textWrapping"/>
            </w:r>
            <w:r>
              <w:rPr>
                <w:rFonts w:ascii="Times New Roman" w:hAnsi="Times New Roman" w:eastAsia="仿宋"/>
                <w:b/>
                <w:bCs/>
                <w:color w:val="000000" w:themeColor="text1"/>
                <w14:textFill>
                  <w14:solidFill>
                    <w14:schemeClr w14:val="tx1"/>
                  </w14:solidFill>
                </w14:textFill>
              </w:rPr>
              <w:t>指标</w:t>
            </w:r>
          </w:p>
        </w:tc>
        <w:tc>
          <w:tcPr>
            <w:tcW w:w="44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D1A04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三级</w:t>
            </w:r>
            <w:r>
              <w:rPr>
                <w:rFonts w:ascii="Times New Roman" w:hAnsi="Times New Roman" w:eastAsia="å¾®è½¯é›…é»‘"/>
                <w:b/>
                <w:bCs/>
                <w:color w:val="000000" w:themeColor="text1"/>
                <w14:textFill>
                  <w14:solidFill>
                    <w14:schemeClr w14:val="tx1"/>
                  </w14:solidFill>
                </w14:textFill>
              </w:rPr>
              <w:br w:type="textWrapping"/>
            </w:r>
            <w:r>
              <w:rPr>
                <w:rFonts w:ascii="Times New Roman" w:hAnsi="Times New Roman" w:eastAsia="仿宋"/>
                <w:b/>
                <w:bCs/>
                <w:color w:val="000000" w:themeColor="text1"/>
                <w14:textFill>
                  <w14:solidFill>
                    <w14:schemeClr w14:val="tx1"/>
                  </w14:solidFill>
                </w14:textFill>
              </w:rPr>
              <w:t>指标</w:t>
            </w:r>
          </w:p>
        </w:tc>
        <w:tc>
          <w:tcPr>
            <w:tcW w:w="116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07694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指标解释</w:t>
            </w:r>
          </w:p>
        </w:tc>
        <w:tc>
          <w:tcPr>
            <w:tcW w:w="277"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6F681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分值</w:t>
            </w:r>
          </w:p>
        </w:tc>
        <w:tc>
          <w:tcPr>
            <w:tcW w:w="155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43521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评价要点及评分标准</w:t>
            </w:r>
          </w:p>
        </w:tc>
        <w:tc>
          <w:tcPr>
            <w:tcW w:w="27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CD9028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评分</w:t>
            </w:r>
          </w:p>
        </w:tc>
        <w:tc>
          <w:tcPr>
            <w:tcW w:w="51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19490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扣分情况说明</w:t>
            </w:r>
          </w:p>
          <w:p w14:paraId="391DFB2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14:textFill>
                  <w14:solidFill>
                    <w14:schemeClr w14:val="tx1"/>
                  </w14:solidFill>
                </w14:textFill>
              </w:rPr>
              <w:t> </w:t>
            </w:r>
          </w:p>
        </w:tc>
      </w:tr>
      <w:tr w14:paraId="69CBFAF8">
        <w:tblPrEx>
          <w:tblCellMar>
            <w:top w:w="0" w:type="dxa"/>
            <w:left w:w="0" w:type="dxa"/>
            <w:bottom w:w="0" w:type="dxa"/>
            <w:right w:w="0" w:type="dxa"/>
          </w:tblCellMar>
        </w:tblPrEx>
        <w:trPr>
          <w:trHeight w:val="1600" w:hRule="atLeast"/>
          <w:jc w:val="center"/>
        </w:trPr>
        <w:tc>
          <w:tcPr>
            <w:tcW w:w="436"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EA2730">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AF7D4F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1DF78C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5C9240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28A886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EED6E8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4C21E5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6EB5BF0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债券资金分配决策</w:t>
            </w:r>
          </w:p>
          <w:p w14:paraId="4A23526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10分</w:t>
            </w:r>
          </w:p>
          <w:p w14:paraId="6AD587F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4998F2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4854BE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074889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7A6292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4D51A6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95EAAB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2CC6B3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E699D7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C170E2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8B1089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0988F0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p w14:paraId="1E32911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33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76808C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950DE2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C6F224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A3DD11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D6A2C4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3035F10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23616D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E90587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33524370">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债券资金设立依据</w:t>
            </w:r>
            <w:r>
              <w:rPr>
                <w:rFonts w:ascii="Times New Roman" w:hAnsi="Times New Roman" w:eastAsia="微软雅黑"/>
                <w:color w:val="000000" w:themeColor="text1"/>
                <w:sz w:val="18"/>
                <w:szCs w:val="18"/>
                <w14:textFill>
                  <w14:solidFill>
                    <w14:schemeClr w14:val="tx1"/>
                  </w14:solidFill>
                </w14:textFill>
              </w:rPr>
              <w:t>4</w:t>
            </w:r>
            <w:r>
              <w:rPr>
                <w:rFonts w:ascii="Times New Roman" w:hAnsi="Times New Roman" w:eastAsia="仿宋"/>
                <w:color w:val="000000" w:themeColor="text1"/>
                <w:sz w:val="18"/>
                <w:szCs w:val="18"/>
                <w14:textFill>
                  <w14:solidFill>
                    <w14:schemeClr w14:val="tx1"/>
                  </w14:solidFill>
                </w14:textFill>
              </w:rPr>
              <w:t>分</w:t>
            </w: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2023457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依据充分性</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7088E073">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债券资金安排是否符合国家法律法规，国家、省级重大发展战略部署要求，是否符合行业发展规划和政策规定、是否属于公共财政支出范围，债券发行支持的项目是否进行了专项债券项目偿债保障能力分析。</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47960C8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7A2859A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1、债券发行支持的项目是否符合国家法律法规、行业发展政策，国家、省级重大发展战略部署要求（</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、项目是否与相关部门同类预算支出或部门内部相关预算支出重复；（</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、债券发行支持的项目是否进行了专项债券项目偿债保障能力分析（</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7836C82B">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259453C1">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2BB0565C">
        <w:tblPrEx>
          <w:tblCellMar>
            <w:top w:w="0" w:type="dxa"/>
            <w:left w:w="0" w:type="dxa"/>
            <w:bottom w:w="0" w:type="dxa"/>
            <w:right w:w="0" w:type="dxa"/>
          </w:tblCellMar>
        </w:tblPrEx>
        <w:trPr>
          <w:trHeight w:val="144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E27C4E">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5229C0F">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6BDEC90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程序规范性</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59057573">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项目申请、设立过程是否符合相关要求，用以反映和考核立项的规范情况。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26523DE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2882C54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1、项目是否按规定完成勘察、设计、用地、环评、开工许可等前期批复程序；（</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、项目审批文件、手续是否符合相关要求（</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、事前是否已经过必要的可行性研究、专家论证、风险评估、绩效评估、集体决策（</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06BDE40D">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56F1E546">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69891BD7">
        <w:tblPrEx>
          <w:tblCellMar>
            <w:top w:w="0" w:type="dxa"/>
            <w:left w:w="0" w:type="dxa"/>
            <w:bottom w:w="0" w:type="dxa"/>
            <w:right w:w="0" w:type="dxa"/>
          </w:tblCellMar>
        </w:tblPrEx>
        <w:trPr>
          <w:trHeight w:val="108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51CB6B">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061B183">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0E265E2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项目符合性</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71C6AD92">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项目是否符合专项债券支持领域和方向，项目“一案两书”编制情况，用于反映项目是否符合专项债券发行条件。</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160C12C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5E17668E">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1、项目是否按规定完成勘察、设计、用地、环评、开工许可等前期批复程序</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、项目审批文件、手续是否符合相关要求及项目“一案两书”编制情况</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489B5507">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06E9DA0D">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26DF34D0">
        <w:tblPrEx>
          <w:tblCellMar>
            <w:top w:w="0" w:type="dxa"/>
            <w:left w:w="0" w:type="dxa"/>
            <w:bottom w:w="0" w:type="dxa"/>
            <w:right w:w="0" w:type="dxa"/>
          </w:tblCellMar>
        </w:tblPrEx>
        <w:trPr>
          <w:trHeight w:val="462"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9B15F5">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53EAB3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FB335A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5F28979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债券资金项目绩效目标</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p>
          <w:p w14:paraId="09F2329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CA16FA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3909B06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92D61E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30F0D9F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绩效目标合理性</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7C36D90F">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债券发行支持的项目所设定的绩效目标是否依据充分，是否符合客观实际，用以反映和考核债券资金绩效目标与债券资金实施的相符情况。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37A5C35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05DD77CB">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1、项目是否有具体、明确、可行的绩效目标（</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、项目绩效目标与实际工作内容是否具有相关性，项目预期产出效益和效果是否符合正常的业绩水平（</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、项目是否与预算确定的债券资金投资额或资金量相匹配（</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18BD8E5D">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02BAFCE2">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4F866BEC">
        <w:tblPrEx>
          <w:tblCellMar>
            <w:top w:w="0" w:type="dxa"/>
            <w:left w:w="0" w:type="dxa"/>
            <w:bottom w:w="0" w:type="dxa"/>
            <w:right w:w="0" w:type="dxa"/>
          </w:tblCellMar>
        </w:tblPrEx>
        <w:trPr>
          <w:trHeight w:val="2035"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14928D">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A238909">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2847BAA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绩效指标明确性</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3B84BD23">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依据绩效目标设定的绩效指标是否清晰、细化、可衡量等，用以反映和考核债券资金项目绩效目标的明细化情况。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7734B60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686980E7">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1、是否将债券资金项目绩效目标细化分解为具体的绩效指标（</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、是否通过清晰、可衡量的指标值予以体现（</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、是否与债券资金目标任务数或计划数相对应（</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7E1493EE">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04A7FE7F">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5F70D97F">
        <w:tblPrEx>
          <w:tblCellMar>
            <w:top w:w="0" w:type="dxa"/>
            <w:left w:w="0" w:type="dxa"/>
            <w:bottom w:w="0" w:type="dxa"/>
            <w:right w:w="0" w:type="dxa"/>
          </w:tblCellMar>
        </w:tblPrEx>
        <w:trPr>
          <w:trHeight w:val="2742"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429F73">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0C5EFB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资金分配与偿还</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264BDD5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项目偿债资金明确性</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3910FF5D">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项目预期偿债资金来源是否明确，项目偿债资金测算依据是否充分；在债券存续期内，项目预期总收入是否能覆盖债券存续期内本息。</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7AA187E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627132CA">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1、项目偿债资金测算依据是否充分，是否按照行业标准测算（</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、债券存续期内项目预期总收入是否超过债券存续期内本息（</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、预算编制是否经过科学论证，做到总体收支平衡和年度收支平衡（</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73CD287A">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29A26F5F">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项目偿债资金测算依据不充分</w:t>
            </w:r>
          </w:p>
        </w:tc>
      </w:tr>
      <w:tr w14:paraId="487CD442">
        <w:tblPrEx>
          <w:tblCellMar>
            <w:top w:w="0" w:type="dxa"/>
            <w:left w:w="0" w:type="dxa"/>
            <w:bottom w:w="0" w:type="dxa"/>
            <w:right w:w="0" w:type="dxa"/>
          </w:tblCellMar>
        </w:tblPrEx>
        <w:trPr>
          <w:trHeight w:val="2008"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96442E">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DE90F52">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4B29D5F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资金分配合理性</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0C0D57A1">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预算资金分配是否有测算依据，与补助单位或地方实际是否相适应，用以反映和考核债券资金预算资金分配的科学性、合理性情况。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048BDCE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3028C56D">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1、债券资金分配依据是否充分（</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、资金分配额度是否合理，与项目实施单位或地方实际是否相适应（</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26EB40DE">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030529BC">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资金分配额度与项目实施单位实际是不适应</w:t>
            </w:r>
          </w:p>
        </w:tc>
      </w:tr>
      <w:tr w14:paraId="093849B4">
        <w:tblPrEx>
          <w:tblCellMar>
            <w:top w:w="0" w:type="dxa"/>
            <w:left w:w="0" w:type="dxa"/>
            <w:bottom w:w="0" w:type="dxa"/>
            <w:right w:w="0" w:type="dxa"/>
          </w:tblCellMar>
        </w:tblPrEx>
        <w:trPr>
          <w:trHeight w:val="1798" w:hRule="atLeast"/>
          <w:jc w:val="center"/>
        </w:trPr>
        <w:tc>
          <w:tcPr>
            <w:tcW w:w="436"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B92FB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7AAF44D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BFE895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A63689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7A44B7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CA5CF5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p w14:paraId="7EA8907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42C210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8B51FF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50246B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695DFB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7BC548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4016A0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72F09C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45374D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67EE89D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61EC5C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8BD9182">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DD514DB">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21F58F3D">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6F56FA9B">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5DCAF6DB">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23D6E2D5">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21C7F387">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66D291FF">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43A483B3">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3FADCEEB">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5CBBFD49">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081D9BE6">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21757EC9">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1775E6C7">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0EE5EBBB">
            <w:pPr>
              <w:pStyle w:val="6"/>
              <w:widowControl/>
              <w:spacing w:beforeAutospacing="0" w:afterAutospacing="0"/>
              <w:jc w:val="center"/>
              <w:textAlignment w:val="center"/>
              <w:rPr>
                <w:rFonts w:ascii="Times New Roman" w:hAnsi="Times New Roman" w:eastAsia="仿宋"/>
                <w:color w:val="000000" w:themeColor="text1"/>
                <w14:textFill>
                  <w14:solidFill>
                    <w14:schemeClr w14:val="tx1"/>
                  </w14:solidFill>
                </w14:textFill>
              </w:rPr>
            </w:pPr>
          </w:p>
          <w:p w14:paraId="7F9F87E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C8D10F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债券资金使用管理</w:t>
            </w:r>
          </w:p>
          <w:p w14:paraId="6DEF167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（过程）</w:t>
            </w:r>
            <w:r>
              <w:rPr>
                <w:rFonts w:ascii="Times New Roman" w:hAnsi="Times New Roman" w:eastAsia="微软雅黑"/>
                <w:color w:val="000000" w:themeColor="text1"/>
                <w14:textFill>
                  <w14:solidFill>
                    <w14:schemeClr w14:val="tx1"/>
                  </w14:solidFill>
                </w14:textFill>
              </w:rPr>
              <w:t>30</w:t>
            </w:r>
            <w:r>
              <w:rPr>
                <w:rFonts w:ascii="Times New Roman" w:hAnsi="Times New Roman" w:eastAsia="仿宋"/>
                <w:color w:val="000000" w:themeColor="text1"/>
                <w14:textFill>
                  <w14:solidFill>
                    <w14:schemeClr w14:val="tx1"/>
                  </w14:solidFill>
                </w14:textFill>
              </w:rPr>
              <w:t>分</w:t>
            </w:r>
          </w:p>
          <w:p w14:paraId="5F08F34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79C2B96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246E82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6D75A3A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6A3DF74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117AAC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2294E2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078E6D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8B59A0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8E64A9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D171B2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C19D45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71F021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36DEBA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6BC492F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735318E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E773BC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5D9108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6A52176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p w14:paraId="2DC0FDC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C76D4C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4FC7DF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B1857C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5EEDCD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652393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2FC7B1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2CD40A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DFCC6F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8D1205E">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D6AF9A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33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FBA771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2F3B238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A3E834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30C8630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520B7B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5554BF1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46AFB32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C19524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1AB434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债券资金管理</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分</w:t>
            </w:r>
          </w:p>
          <w:p w14:paraId="26A59E1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57085A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32496B0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24C3D9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2221FE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2955AA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358013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29EF19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A95689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5A8249F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C9B278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2510CE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46A2137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ADCE78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C129BF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B463CD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510C28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52D7C57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ACE4A4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7FD1A6E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债券资金到位率</w:t>
            </w:r>
          </w:p>
          <w:p w14:paraId="7B75B17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1D33DD8B">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实际到位资金与债券资金的比率，用以反映和考核资金落实情况对债券资金实施的总体保障程度。</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14AA229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11BBDC8A">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1、资金及时到位（</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分），资金到位率×</w:t>
            </w:r>
            <w:r>
              <w:rPr>
                <w:rFonts w:ascii="Times New Roman" w:hAnsi="Times New Roman" w:eastAsia="微软雅黑"/>
                <w:color w:val="000000" w:themeColor="text1"/>
                <w:sz w:val="18"/>
                <w:szCs w:val="18"/>
                <w14:textFill>
                  <w14:solidFill>
                    <w14:schemeClr w14:val="tx1"/>
                  </w14:solidFill>
                </w14:textFill>
              </w:rPr>
              <w:t>100%</w:t>
            </w:r>
            <w:r>
              <w:rPr>
                <w:rFonts w:ascii="Times New Roman" w:hAnsi="Times New Roman" w:eastAsia="仿宋"/>
                <w:color w:val="000000" w:themeColor="text1"/>
                <w:sz w:val="18"/>
                <w:szCs w:val="18"/>
                <w14:textFill>
                  <w14:solidFill>
                    <w14:schemeClr w14:val="tx1"/>
                  </w14:solidFill>
                </w14:textFill>
              </w:rPr>
              <w:t xml:space="preserve">。                  </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、资金到位与项目建设进度匹配度</w:t>
            </w:r>
            <w:r>
              <w:rPr>
                <w:rFonts w:ascii="Times New Roman" w:hAnsi="Times New Roman" w:eastAsia="微软雅黑"/>
                <w:color w:val="000000" w:themeColor="text1"/>
                <w:sz w:val="18"/>
                <w:szCs w:val="18"/>
                <w14:textFill>
                  <w14:solidFill>
                    <w14:schemeClr w14:val="tx1"/>
                  </w14:solidFill>
                </w14:textFill>
              </w:rPr>
              <w:t>100%</w:t>
            </w:r>
            <w:r>
              <w:rPr>
                <w:rFonts w:ascii="Times New Roman" w:hAnsi="Times New Roman" w:eastAsia="仿宋"/>
                <w:color w:val="000000" w:themeColor="text1"/>
                <w:sz w:val="18"/>
                <w:szCs w:val="18"/>
                <w14:textFill>
                  <w14:solidFill>
                    <w14:schemeClr w14:val="tx1"/>
                  </w14:solidFill>
                </w14:textFill>
              </w:rPr>
              <w:t>。</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6B965B2E">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4067F18D">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p>
        </w:tc>
      </w:tr>
      <w:tr w14:paraId="57417E7A">
        <w:tblPrEx>
          <w:tblCellMar>
            <w:top w:w="0" w:type="dxa"/>
            <w:left w:w="0" w:type="dxa"/>
            <w:bottom w:w="0" w:type="dxa"/>
            <w:right w:w="0" w:type="dxa"/>
          </w:tblCellMar>
        </w:tblPrEx>
        <w:trPr>
          <w:trHeight w:val="2607"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5C9514">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7697E94">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0E9EF97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债券资金执行率</w:t>
            </w:r>
          </w:p>
          <w:p w14:paraId="0944762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3分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472B530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项目预算资金是否按照计划执行、资金支出与项目建设进度匹配情况，用以反映或考核项目预算执行情况。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1A5203B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3</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4BC7D2A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1.当年项目单位债券资金执行率未达到</w:t>
            </w:r>
            <w:r>
              <w:rPr>
                <w:rFonts w:ascii="Times New Roman" w:hAnsi="Times New Roman" w:eastAsia="微软雅黑"/>
                <w:color w:val="000000" w:themeColor="text1"/>
                <w:sz w:val="18"/>
                <w:szCs w:val="18"/>
                <w14:textFill>
                  <w14:solidFill>
                    <w14:schemeClr w14:val="tx1"/>
                  </w14:solidFill>
                </w14:textFill>
              </w:rPr>
              <w:t>90%</w:t>
            </w:r>
            <w:r>
              <w:rPr>
                <w:rFonts w:ascii="Times New Roman" w:hAnsi="Times New Roman" w:eastAsia="仿宋"/>
                <w:color w:val="000000" w:themeColor="text1"/>
                <w:sz w:val="18"/>
                <w:szCs w:val="18"/>
                <w14:textFill>
                  <w14:solidFill>
                    <w14:schemeClr w14:val="tx1"/>
                  </w14:solidFill>
                </w14:textFill>
              </w:rPr>
              <w:t>的扣</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分，未达到</w:t>
            </w:r>
            <w:r>
              <w:rPr>
                <w:rFonts w:ascii="Times New Roman" w:hAnsi="Times New Roman" w:eastAsia="微软雅黑"/>
                <w:color w:val="000000" w:themeColor="text1"/>
                <w:sz w:val="18"/>
                <w:szCs w:val="18"/>
                <w14:textFill>
                  <w14:solidFill>
                    <w14:schemeClr w14:val="tx1"/>
                  </w14:solidFill>
                </w14:textFill>
              </w:rPr>
              <w:t>80%</w:t>
            </w:r>
            <w:r>
              <w:rPr>
                <w:rFonts w:ascii="Times New Roman" w:hAnsi="Times New Roman" w:eastAsia="仿宋"/>
                <w:color w:val="000000" w:themeColor="text1"/>
                <w:sz w:val="18"/>
                <w:szCs w:val="18"/>
                <w14:textFill>
                  <w14:solidFill>
                    <w14:schemeClr w14:val="tx1"/>
                  </w14:solidFill>
                </w14:textFill>
              </w:rPr>
              <w:t>的扣</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分，未达到</w:t>
            </w:r>
            <w:r>
              <w:rPr>
                <w:rFonts w:ascii="Times New Roman" w:hAnsi="Times New Roman" w:eastAsia="微软雅黑"/>
                <w:color w:val="000000" w:themeColor="text1"/>
                <w:sz w:val="18"/>
                <w:szCs w:val="18"/>
                <w14:textFill>
                  <w14:solidFill>
                    <w14:schemeClr w14:val="tx1"/>
                  </w14:solidFill>
                </w14:textFill>
              </w:rPr>
              <w:t>70%</w:t>
            </w:r>
            <w:r>
              <w:rPr>
                <w:rFonts w:ascii="Times New Roman" w:hAnsi="Times New Roman" w:eastAsia="仿宋"/>
                <w:color w:val="000000" w:themeColor="text1"/>
                <w:sz w:val="18"/>
                <w:szCs w:val="18"/>
                <w14:textFill>
                  <w14:solidFill>
                    <w14:schemeClr w14:val="tx1"/>
                  </w14:solidFill>
                </w14:textFill>
              </w:rPr>
              <w:t>的扣</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分，未达到</w:t>
            </w:r>
            <w:r>
              <w:rPr>
                <w:rFonts w:ascii="Times New Roman" w:hAnsi="Times New Roman" w:eastAsia="微软雅黑"/>
                <w:color w:val="000000" w:themeColor="text1"/>
                <w:sz w:val="18"/>
                <w:szCs w:val="18"/>
                <w14:textFill>
                  <w14:solidFill>
                    <w14:schemeClr w14:val="tx1"/>
                  </w14:solidFill>
                </w14:textFill>
              </w:rPr>
              <w:t>60%</w:t>
            </w:r>
            <w:r>
              <w:rPr>
                <w:rFonts w:ascii="Times New Roman" w:hAnsi="Times New Roman" w:eastAsia="仿宋"/>
                <w:color w:val="000000" w:themeColor="text1"/>
                <w:sz w:val="18"/>
                <w:szCs w:val="18"/>
                <w14:textFill>
                  <w14:solidFill>
                    <w14:schemeClr w14:val="tx1"/>
                  </w14:solidFill>
                </w14:textFill>
              </w:rPr>
              <w:t>的扣</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            2.债券资金实际使用的资金。资金支出与项目建设进度匹配度</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（预算执行率</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项目完工率）×</w:t>
            </w:r>
            <w:r>
              <w:rPr>
                <w:rFonts w:ascii="Times New Roman" w:hAnsi="Times New Roman" w:eastAsia="微软雅黑"/>
                <w:color w:val="000000" w:themeColor="text1"/>
                <w:sz w:val="18"/>
                <w:szCs w:val="18"/>
                <w14:textFill>
                  <w14:solidFill>
                    <w14:schemeClr w14:val="tx1"/>
                  </w14:solidFill>
                </w14:textFill>
              </w:rPr>
              <w:t>100%</w:t>
            </w:r>
            <w:r>
              <w:rPr>
                <w:rFonts w:ascii="Times New Roman" w:hAnsi="Times New Roman" w:eastAsia="仿宋"/>
                <w:color w:val="000000" w:themeColor="text1"/>
                <w:sz w:val="18"/>
                <w:szCs w:val="18"/>
                <w14:textFill>
                  <w14:solidFill>
                    <w14:schemeClr w14:val="tx1"/>
                  </w14:solidFill>
                </w14:textFill>
              </w:rPr>
              <w:t>）</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52CE0F0C">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3</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232186FF">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6E213C90">
        <w:tblPrEx>
          <w:tblCellMar>
            <w:top w:w="0" w:type="dxa"/>
            <w:left w:w="0" w:type="dxa"/>
            <w:bottom w:w="0" w:type="dxa"/>
            <w:right w:w="0" w:type="dxa"/>
          </w:tblCellMar>
        </w:tblPrEx>
        <w:trPr>
          <w:trHeight w:val="4725"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D2F8CB">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AFA2DB4">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4C35579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资金使用合规性</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0BD3E68C">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债券资金使用是否符合相关的财务管理制度规定，用以反映和考核预算资金的规范运行情况。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5871784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3</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5B9CB841">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1、是否符合国家财经法规和财务管理制度以及有关专项资金管理办法的规定（</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、资金的拨付是否有完整的审批程序和手续（</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、是否符合项目预算批复或合同规定的建设范围和用途使用（</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4</w:t>
            </w:r>
            <w:r>
              <w:rPr>
                <w:rFonts w:ascii="Times New Roman" w:hAnsi="Times New Roman" w:eastAsia="仿宋"/>
                <w:color w:val="000000" w:themeColor="text1"/>
                <w:sz w:val="18"/>
                <w:szCs w:val="18"/>
                <w14:textFill>
                  <w14:solidFill>
                    <w14:schemeClr w14:val="tx1"/>
                  </w14:solidFill>
                </w14:textFill>
              </w:rPr>
              <w:t>、是否将资金使用信息录入专项债券综合管理平台备查（</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5</w:t>
            </w:r>
            <w:r>
              <w:rPr>
                <w:rFonts w:ascii="Times New Roman" w:hAnsi="Times New Roman" w:eastAsia="仿宋"/>
                <w:color w:val="000000" w:themeColor="text1"/>
                <w:sz w:val="18"/>
                <w:szCs w:val="18"/>
                <w14:textFill>
                  <w14:solidFill>
                    <w14:schemeClr w14:val="tx1"/>
                  </w14:solidFill>
                </w14:textFill>
              </w:rPr>
              <w:t>、是否存在截留、挤占、挪用、虐列支出等情况（</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分：每发现一起挤占挪用专项资金的扣</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分，扣完为止）。此项指标为反向扣分。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249A0F07">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3</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6547BAD6">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5FEEF3DE">
        <w:tblPrEx>
          <w:tblCellMar>
            <w:top w:w="0" w:type="dxa"/>
            <w:left w:w="0" w:type="dxa"/>
            <w:bottom w:w="0" w:type="dxa"/>
            <w:right w:w="0" w:type="dxa"/>
          </w:tblCellMar>
        </w:tblPrEx>
        <w:trPr>
          <w:trHeight w:val="3597"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865BFF">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4E19170">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5003297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还本付息</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10C88AB3">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用以反映和考核项目使用债券资金还本付息、偿债来源的真实有效性和债券期限与项目期限的匹配性。</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4DEF74B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6F495E57">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1、是否准确编制了项目还本付息计划和落实还本付息资金情况（</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、按照转贷协议约定</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及时缴纳项目应当承担的利息情况（</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、是否存在使用其他项目对应的项目收益错项偿还到期债券本息情况（</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4</w:t>
            </w:r>
            <w:r>
              <w:rPr>
                <w:rFonts w:ascii="Times New Roman" w:hAnsi="Times New Roman" w:eastAsia="仿宋"/>
                <w:color w:val="000000" w:themeColor="text1"/>
                <w:sz w:val="18"/>
                <w:szCs w:val="18"/>
                <w14:textFill>
                  <w14:solidFill>
                    <w14:schemeClr w14:val="tx1"/>
                  </w14:solidFill>
                </w14:textFill>
              </w:rPr>
              <w:t>、专项债券期限与项目建设运营期限是否匹配（</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2FA20864">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0164E718">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专项债券期限与项目建设运营期限存在不匹配</w:t>
            </w:r>
          </w:p>
        </w:tc>
      </w:tr>
      <w:tr w14:paraId="13C4D3DD">
        <w:tblPrEx>
          <w:tblCellMar>
            <w:top w:w="0" w:type="dxa"/>
            <w:left w:w="0" w:type="dxa"/>
            <w:bottom w:w="0" w:type="dxa"/>
            <w:right w:w="0" w:type="dxa"/>
          </w:tblCellMar>
        </w:tblPrEx>
        <w:trPr>
          <w:trHeight w:val="3164"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BEDCB4">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14FDC0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285340C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4FBBD54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26AC302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7F7073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46D55D9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5DB81D9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811EE4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459B58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5155D29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25EEA35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7B18439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4D27B0E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F748E2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394AD2A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40E6C4E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DAC569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组织实施</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分</w:t>
            </w:r>
          </w:p>
          <w:p w14:paraId="0E25140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61AAC9E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6005F9F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管理制度健全性</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4A3067DC">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项目建设、运营、资产管理等环节的管理制度建设执行情况，用以反映和考核管理制度对项目顺利实施的保障情况。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25F1BF6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0BA91A5F">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1、是否已制定或具有相应的业务管理制度，项目建设、运营、资产管理等环节的管理制度是否合法、合规、完整（</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、项目单位职能分工是否明确、职责是否明确（</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、项目管理制度是否有效执行（</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056FE136">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163046E6">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1D62D8E5">
        <w:tblPrEx>
          <w:tblCellMar>
            <w:top w:w="0" w:type="dxa"/>
            <w:left w:w="0" w:type="dxa"/>
            <w:bottom w:w="0" w:type="dxa"/>
            <w:right w:w="0" w:type="dxa"/>
          </w:tblCellMar>
        </w:tblPrEx>
        <w:trPr>
          <w:trHeight w:val="278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C74669">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A0D28F3">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3A883D5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项目质量控制</w:t>
            </w:r>
            <w:r>
              <w:rPr>
                <w:rFonts w:ascii="Times New Roman" w:hAnsi="Times New Roman" w:eastAsia="微软雅黑"/>
                <w:color w:val="000000" w:themeColor="text1"/>
                <w:sz w:val="18"/>
                <w:szCs w:val="18"/>
                <w14:textFill>
                  <w14:solidFill>
                    <w14:schemeClr w14:val="tx1"/>
                  </w14:solidFill>
                </w14:textFill>
              </w:rPr>
              <w:t>5.5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5A2B0435">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项目是否按实施计划执行，是否进行项目调整，是否有相应的质量标准要求。用以反映和考核对项目质量的控制。</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624FA7C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5.5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3DEB660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1、是否编制科学合理的项目实施计划（</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、是否遵守相关法律法规和相关管理规定（</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、是否制定相应的项目质量要求或标准（</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4</w:t>
            </w:r>
            <w:r>
              <w:rPr>
                <w:rFonts w:ascii="Times New Roman" w:hAnsi="Times New Roman" w:eastAsia="仿宋"/>
                <w:color w:val="000000" w:themeColor="text1"/>
                <w:sz w:val="18"/>
                <w:szCs w:val="18"/>
                <w14:textFill>
                  <w14:solidFill>
                    <w14:schemeClr w14:val="tx1"/>
                  </w14:solidFill>
                </w14:textFill>
              </w:rPr>
              <w:t>、是否采取了相应的项目质量检查、验收等必需的控制措施或手段（</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5</w:t>
            </w:r>
            <w:r>
              <w:rPr>
                <w:rFonts w:ascii="Times New Roman" w:hAnsi="Times New Roman" w:eastAsia="仿宋"/>
                <w:color w:val="000000" w:themeColor="text1"/>
                <w:sz w:val="18"/>
                <w:szCs w:val="18"/>
                <w14:textFill>
                  <w14:solidFill>
                    <w14:schemeClr w14:val="tx1"/>
                  </w14:solidFill>
                </w14:textFill>
              </w:rPr>
              <w:t>、 项目调整审批手续是否完备，调整导致的资金差额是否作了合理安排（</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6</w:t>
            </w:r>
            <w:r>
              <w:rPr>
                <w:rFonts w:ascii="Times New Roman" w:hAnsi="Times New Roman" w:eastAsia="仿宋"/>
                <w:color w:val="000000" w:themeColor="text1"/>
                <w:sz w:val="18"/>
                <w:szCs w:val="18"/>
                <w14:textFill>
                  <w14:solidFill>
                    <w14:schemeClr w14:val="tx1"/>
                  </w14:solidFill>
                </w14:textFill>
              </w:rPr>
              <w:t>、项目合同书、验收报告、技术鉴定等资料是否齐全并及时归档（</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7</w:t>
            </w:r>
            <w:r>
              <w:rPr>
                <w:rFonts w:ascii="Times New Roman" w:hAnsi="Times New Roman" w:eastAsia="仿宋"/>
                <w:color w:val="000000" w:themeColor="text1"/>
                <w:sz w:val="18"/>
                <w:szCs w:val="18"/>
                <w14:textFill>
                  <w14:solidFill>
                    <w14:schemeClr w14:val="tx1"/>
                  </w14:solidFill>
                </w14:textFill>
              </w:rPr>
              <w:t>、项目实施的人员条件、场地设备、信息支撑等是否落实到位（</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6E8A4126">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5.5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35DD0C48">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20393397">
        <w:tblPrEx>
          <w:tblCellMar>
            <w:top w:w="0" w:type="dxa"/>
            <w:left w:w="0" w:type="dxa"/>
            <w:bottom w:w="0" w:type="dxa"/>
            <w:right w:w="0" w:type="dxa"/>
          </w:tblCellMar>
        </w:tblPrEx>
        <w:trPr>
          <w:trHeight w:val="156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F1E4E26">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2F02FC8">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5C0AACB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招标及政府采购管理</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5F1515B5">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用以反映和考核项目招标和政府采购的规范性情况。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3945885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12B9DD2B">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1、项目招标和政府采购的程序及手续是否合法合规（</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、合同签订及执行是否规范（</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 工程、设备、原材料等采购需求与项目实际需求是否吻合</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是否存在重复或浪费现象（</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1572F1F6">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2"/>
                <w:szCs w:val="22"/>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4155F013">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2"/>
                <w:szCs w:val="22"/>
                <w14:textFill>
                  <w14:solidFill>
                    <w14:schemeClr w14:val="tx1"/>
                  </w14:solidFill>
                </w14:textFill>
              </w:rPr>
              <w:t> </w:t>
            </w:r>
          </w:p>
        </w:tc>
      </w:tr>
      <w:tr w14:paraId="1C4DB07F">
        <w:tblPrEx>
          <w:tblCellMar>
            <w:top w:w="0" w:type="dxa"/>
            <w:left w:w="0" w:type="dxa"/>
            <w:bottom w:w="0" w:type="dxa"/>
            <w:right w:w="0" w:type="dxa"/>
          </w:tblCellMar>
        </w:tblPrEx>
        <w:trPr>
          <w:trHeight w:val="9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31BCCB">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7E415BA">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09272DE6">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资产管理</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567C2698">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是否对资产权属、资产管护、资产安全等方面进行有效管理，用以反映和考核债券资金形成的资产管理情况。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647DC0C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1.5</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33E27444">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1、项目竣工后是否进行资产备案和产权登记（</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、项目主管部门是否履行资产运营维护责任，会计核算是否规范（</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、国有资产是否按规定用途使用，是否存在抵质押的情况（</w:t>
            </w:r>
            <w:r>
              <w:rPr>
                <w:rFonts w:ascii="Times New Roman" w:hAnsi="Times New Roman" w:eastAsia="微软雅黑"/>
                <w:color w:val="000000" w:themeColor="text1"/>
                <w:sz w:val="18"/>
                <w:szCs w:val="18"/>
                <w14:textFill>
                  <w14:solidFill>
                    <w14:schemeClr w14:val="tx1"/>
                  </w14:solidFill>
                </w14:textFill>
              </w:rPr>
              <w:t>0.5</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58005611">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2"/>
                <w:szCs w:val="22"/>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043319DD">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2"/>
                <w:szCs w:val="22"/>
                <w14:textFill>
                  <w14:solidFill>
                    <w14:schemeClr w14:val="tx1"/>
                  </w14:solidFill>
                </w14:textFill>
              </w:rPr>
              <w:t> </w:t>
            </w:r>
          </w:p>
        </w:tc>
      </w:tr>
      <w:tr w14:paraId="0C9C5657">
        <w:tblPrEx>
          <w:tblCellMar>
            <w:top w:w="0" w:type="dxa"/>
            <w:left w:w="0" w:type="dxa"/>
            <w:bottom w:w="0" w:type="dxa"/>
            <w:right w:w="0" w:type="dxa"/>
          </w:tblCellMar>
        </w:tblPrEx>
        <w:trPr>
          <w:trHeight w:val="88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448FB3">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2A8B23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49FAFBF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70FD9B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BCCBA8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风险控制</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分</w:t>
            </w:r>
          </w:p>
          <w:p w14:paraId="0B80234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B023B0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1204996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8709FE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0C04A27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2BD7062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p w14:paraId="33936FD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573DDD7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风控机制及措施</w:t>
            </w:r>
            <w:r>
              <w:rPr>
                <w:rFonts w:ascii="Times New Roman" w:hAnsi="Times New Roman" w:eastAsia="微软雅黑"/>
                <w:color w:val="000000" w:themeColor="text1"/>
                <w:sz w:val="18"/>
                <w:szCs w:val="18"/>
                <w14:textFill>
                  <w14:solidFill>
                    <w14:schemeClr w14:val="tx1"/>
                  </w14:solidFill>
                </w14:textFill>
              </w:rPr>
              <w:t>4</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1A652174">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用以反映和考核政府债务风险防控方案制定及实际执行等情况。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13ED789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4</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02626B38">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1、是否建立了债务风险动态监测机制（</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、对识别到的风险是否建立了应对的防范措施（</w:t>
            </w:r>
            <w:r>
              <w:rPr>
                <w:rFonts w:ascii="Times New Roman" w:hAnsi="Times New Roman" w:eastAsia="微软雅黑"/>
                <w:color w:val="000000" w:themeColor="text1"/>
                <w:sz w:val="18"/>
                <w:szCs w:val="18"/>
                <w14:textFill>
                  <w14:solidFill>
                    <w14:schemeClr w14:val="tx1"/>
                  </w14:solidFill>
                </w14:textFill>
              </w:rPr>
              <w:t>1.5</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å¾®è½¯é›…é»‘"/>
                <w:color w:val="000000" w:themeColor="text1"/>
                <w:sz w:val="18"/>
                <w:szCs w:val="18"/>
                <w14:textFill>
                  <w14:solidFill>
                    <w14:schemeClr w14:val="tx1"/>
                  </w14:solidFill>
                </w14:textFill>
              </w:rPr>
              <w:br w:type="textWrapping"/>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、是否建立了债务风险应对预案和社会稳定风险应对预案（</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3B8A3C3E">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3</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1D18718B">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没有建立债务风险应对预案和社会稳定风险应对预案</w:t>
            </w:r>
          </w:p>
        </w:tc>
      </w:tr>
      <w:tr w14:paraId="206B409F">
        <w:tblPrEx>
          <w:tblCellMar>
            <w:top w:w="0" w:type="dxa"/>
            <w:left w:w="0" w:type="dxa"/>
            <w:bottom w:w="0" w:type="dxa"/>
            <w:right w:w="0" w:type="dxa"/>
          </w:tblCellMar>
        </w:tblPrEx>
        <w:trPr>
          <w:trHeight w:val="9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F44DB3">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33714DC">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366A9543">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风控效果</w:t>
            </w:r>
            <w:r>
              <w:rPr>
                <w:rFonts w:ascii="Times New Roman" w:hAnsi="Times New Roman" w:eastAsia="微软雅黑"/>
                <w:color w:val="000000" w:themeColor="text1"/>
                <w:sz w:val="18"/>
                <w:szCs w:val="18"/>
                <w14:textFill>
                  <w14:solidFill>
                    <w14:schemeClr w14:val="tx1"/>
                  </w14:solidFill>
                </w14:textFill>
              </w:rPr>
              <w:t>4</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08096D73">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用以反映和考核风险防控效果情况。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7D2C2F6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4</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55D5B376">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是否发生过重大风险事件（重大债务违约事件、重大安全事故、重大违法违规事件等）、因债务引起的重大群体性事件等情况。</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2A6C503D">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2"/>
                <w:szCs w:val="22"/>
                <w14:textFill>
                  <w14:solidFill>
                    <w14:schemeClr w14:val="tx1"/>
                  </w14:solidFill>
                </w14:textFill>
              </w:rPr>
              <w:t>4</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21BED780">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2"/>
                <w:szCs w:val="22"/>
                <w14:textFill>
                  <w14:solidFill>
                    <w14:schemeClr w14:val="tx1"/>
                  </w14:solidFill>
                </w14:textFill>
              </w:rPr>
              <w:t> </w:t>
            </w:r>
          </w:p>
        </w:tc>
      </w:tr>
      <w:tr w14:paraId="4BE7E0AE">
        <w:tblPrEx>
          <w:tblCellMar>
            <w:top w:w="0" w:type="dxa"/>
            <w:left w:w="0" w:type="dxa"/>
            <w:bottom w:w="0" w:type="dxa"/>
            <w:right w:w="0" w:type="dxa"/>
          </w:tblCellMar>
        </w:tblPrEx>
        <w:trPr>
          <w:trHeight w:val="9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3B550F">
            <w:pPr>
              <w:rPr>
                <w:rFonts w:ascii="Times New Roman" w:hAnsi="Times New Roman" w:eastAsia="å¾®è½¯é›…é»‘" w:cs="Times New Roman"/>
                <w:color w:val="000000" w:themeColor="text1"/>
                <w:sz w:val="24"/>
                <w14:textFill>
                  <w14:solidFill>
                    <w14:schemeClr w14:val="tx1"/>
                  </w14:solidFill>
                </w14:textFill>
              </w:rPr>
            </w:pPr>
          </w:p>
        </w:tc>
        <w:tc>
          <w:tcPr>
            <w:tcW w:w="336" w:type="pct"/>
            <w:vMerge w:val="continue"/>
            <w:tcBorders>
              <w:top w:val="nil"/>
              <w:left w:val="nil"/>
              <w:bottom w:val="single" w:color="auto" w:sz="4" w:space="0"/>
              <w:right w:val="single" w:color="auto" w:sz="8" w:space="0"/>
            </w:tcBorders>
            <w:shd w:val="clear" w:color="auto" w:fill="auto"/>
            <w:tcMar>
              <w:left w:w="108" w:type="dxa"/>
              <w:right w:w="108" w:type="dxa"/>
            </w:tcMar>
            <w:vAlign w:val="center"/>
          </w:tcPr>
          <w:p w14:paraId="5F23ED40">
            <w:pPr>
              <w:rPr>
                <w:rFonts w:ascii="Times New Roman" w:hAnsi="Times New Roman" w:eastAsia="å¾®è½¯é›…é»‘" w:cs="Times New Roman"/>
                <w:color w:val="000000" w:themeColor="text1"/>
                <w:sz w:val="24"/>
                <w14:textFill>
                  <w14:solidFill>
                    <w14:schemeClr w14:val="tx1"/>
                  </w14:solidFill>
                </w14:textFill>
              </w:rPr>
            </w:pP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349C6FB2">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信息公开</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3ABA7727">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用以反映和考核政府债务信息披露等情况。</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1B9ED47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7CBC9A2E">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是否对债券资金发行、存续、重大事项、调整用途等进行信息披露。</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791AA1BA">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2"/>
                <w:szCs w:val="22"/>
                <w14:textFill>
                  <w14:solidFill>
                    <w14:schemeClr w14:val="tx1"/>
                  </w14:solidFill>
                </w14:textFill>
              </w:rPr>
              <w:t>2</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565A8DCA">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2"/>
                <w:szCs w:val="22"/>
                <w14:textFill>
                  <w14:solidFill>
                    <w14:schemeClr w14:val="tx1"/>
                  </w14:solidFill>
                </w14:textFill>
              </w:rPr>
              <w:t> </w:t>
            </w:r>
          </w:p>
        </w:tc>
      </w:tr>
      <w:tr w14:paraId="4DD7557F">
        <w:tblPrEx>
          <w:tblCellMar>
            <w:top w:w="0" w:type="dxa"/>
            <w:left w:w="0" w:type="dxa"/>
            <w:bottom w:w="0" w:type="dxa"/>
            <w:right w:w="0" w:type="dxa"/>
          </w:tblCellMar>
        </w:tblPrEx>
        <w:trPr>
          <w:trHeight w:val="4775" w:hRule="atLeast"/>
          <w:jc w:val="center"/>
        </w:trPr>
        <w:tc>
          <w:tcPr>
            <w:tcW w:w="436" w:type="pct"/>
            <w:vMerge w:val="restart"/>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14:paraId="4DD7456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53B96C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B809B3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2C5BA4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2ABDB7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D2F143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0CC51A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1DDF0C0">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6541DF8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产出指标（</w:t>
            </w:r>
            <w:r>
              <w:rPr>
                <w:rFonts w:ascii="Times New Roman" w:hAnsi="Times New Roman" w:eastAsia="微软雅黑"/>
                <w:color w:val="000000" w:themeColor="text1"/>
                <w14:textFill>
                  <w14:solidFill>
                    <w14:schemeClr w14:val="tx1"/>
                  </w14:solidFill>
                </w14:textFill>
              </w:rPr>
              <w:t>40</w:t>
            </w:r>
            <w:r>
              <w:rPr>
                <w:rFonts w:ascii="Times New Roman" w:hAnsi="Times New Roman" w:eastAsia="仿宋"/>
                <w:color w:val="000000" w:themeColor="text1"/>
                <w14:textFill>
                  <w14:solidFill>
                    <w14:schemeClr w14:val="tx1"/>
                  </w14:solidFill>
                </w14:textFill>
              </w:rPr>
              <w:t>分）</w:t>
            </w:r>
          </w:p>
          <w:p w14:paraId="0EAAC3D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27DF45B">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0ABF91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66C050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EEFD31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88B4FF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187B30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6E19FFA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119B1A5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8B8526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89DE7F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520F06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020D96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65C83CA">
            <w:pPr>
              <w:pStyle w:val="6"/>
              <w:widowControl/>
              <w:spacing w:beforeAutospacing="0" w:afterAutospacing="0"/>
              <w:jc w:val="center"/>
              <w:textAlignment w:val="center"/>
              <w:rPr>
                <w:rFonts w:ascii="Times New Roman" w:hAnsi="Times New Roman" w:eastAsia="仿宋"/>
                <w:color w:val="000000" w:themeColor="text1"/>
                <w:sz w:val="18"/>
                <w:szCs w:val="18"/>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产出数量</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分</w:t>
            </w:r>
          </w:p>
          <w:p w14:paraId="45BE67C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444" w:type="pct"/>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14:paraId="28CDAADA">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工程建设实际完成率</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52A550AD">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反映和考核用于专项资金的产出是否与目标、计划数相符，是否能达到预期标准</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37A85D10">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10</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64D6E4F4">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项目完成进度：确保工程按期完工营业为目标。</w:t>
            </w:r>
          </w:p>
          <w:p w14:paraId="616E0DCF">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优化施工方案，制定切实有效的工期保障措施，合作安排好施工程序；新购一批先进的施工设备，强化配套的机械化作业，提高施工进度保证率，确保实现关键项目施工控制住工期目标，进而保证工期按期完工营业最终目标。</w:t>
            </w:r>
          </w:p>
          <w:p w14:paraId="099C601B">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（1）手续办理工作：不动产证、用地规划许可证、建设工程规划许可证、施工许可证等（保证工期），完成计</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p>
          <w:p w14:paraId="7DB52AFD">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（2）规划设计：全部施工图设计（保证工期），完成计</w:t>
            </w:r>
            <w:r>
              <w:rPr>
                <w:rFonts w:ascii="Times New Roman" w:hAnsi="Times New Roman" w:eastAsia="微软雅黑"/>
                <w:color w:val="000000" w:themeColor="text1"/>
                <w:sz w:val="18"/>
                <w:szCs w:val="18"/>
                <w14:textFill>
                  <w14:solidFill>
                    <w14:schemeClr w14:val="tx1"/>
                  </w14:solidFill>
                </w14:textFill>
              </w:rPr>
              <w:t>2</w:t>
            </w:r>
          </w:p>
          <w:p w14:paraId="7D3C32F7">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（3）主要施工工程完全按工期表进行，计</w:t>
            </w:r>
            <w:r>
              <w:rPr>
                <w:rFonts w:ascii="Times New Roman" w:hAnsi="Times New Roman" w:eastAsia="微软雅黑"/>
                <w:color w:val="000000" w:themeColor="text1"/>
                <w:sz w:val="18"/>
                <w:szCs w:val="18"/>
                <w14:textFill>
                  <w14:solidFill>
                    <w14:schemeClr w14:val="tx1"/>
                  </w14:solidFill>
                </w14:textFill>
              </w:rPr>
              <w:t>4</w:t>
            </w:r>
            <w:r>
              <w:rPr>
                <w:rFonts w:ascii="Times New Roman" w:hAnsi="Times New Roman" w:eastAsia="仿宋"/>
                <w:color w:val="000000" w:themeColor="text1"/>
                <w:sz w:val="18"/>
                <w:szCs w:val="18"/>
                <w14:textFill>
                  <w14:solidFill>
                    <w14:schemeClr w14:val="tx1"/>
                  </w14:solidFill>
                </w14:textFill>
              </w:rPr>
              <w:t>分，滞后不影响工期计</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分，滞后影响工期不计分。</w:t>
            </w:r>
          </w:p>
          <w:p w14:paraId="4F6EBA69">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（4）附属工程：外部供电线路工程等（保证工期），完成计</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24B90F04">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6</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221D3F56">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项目施工工程进度滞后影响工期</w:t>
            </w:r>
          </w:p>
        </w:tc>
      </w:tr>
      <w:tr w14:paraId="743F8085">
        <w:tblPrEx>
          <w:tblCellMar>
            <w:top w:w="0" w:type="dxa"/>
            <w:left w:w="0" w:type="dxa"/>
            <w:bottom w:w="0" w:type="dxa"/>
            <w:right w:w="0" w:type="dxa"/>
          </w:tblCellMar>
        </w:tblPrEx>
        <w:trPr>
          <w:trHeight w:val="2627" w:hRule="atLeast"/>
          <w:jc w:val="center"/>
        </w:trPr>
        <w:tc>
          <w:tcPr>
            <w:tcW w:w="436" w:type="pct"/>
            <w:vMerge w:val="continue"/>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14:paraId="037EC836">
            <w:pPr>
              <w:rPr>
                <w:rFonts w:ascii="Times New Roman" w:hAnsi="Times New Roman" w:eastAsia="å¾®è½¯é›…é»‘" w:cs="Times New Roman"/>
                <w:color w:val="000000" w:themeColor="text1"/>
                <w:sz w:val="24"/>
                <w14:textFill>
                  <w14:solidFill>
                    <w14:schemeClr w14:val="tx1"/>
                  </w14:solidFill>
                </w14:textFill>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9FEE6D9">
            <w:pPr>
              <w:pStyle w:val="6"/>
              <w:widowControl/>
              <w:spacing w:beforeAutospacing="0" w:afterAutospacing="0"/>
              <w:jc w:val="center"/>
              <w:textAlignment w:val="center"/>
              <w:rPr>
                <w:rFonts w:ascii="Times New Roman" w:hAnsi="Times New Roman" w:eastAsia="仿宋"/>
                <w:color w:val="000000" w:themeColor="text1"/>
                <w:sz w:val="18"/>
                <w:szCs w:val="18"/>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产出质量</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分</w:t>
            </w:r>
          </w:p>
          <w:p w14:paraId="6417B40E">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444" w:type="pct"/>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14:paraId="5096339B">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各项质量达标率</w:t>
            </w:r>
          </w:p>
        </w:tc>
        <w:tc>
          <w:tcPr>
            <w:tcW w:w="1165" w:type="pct"/>
            <w:tcBorders>
              <w:top w:val="nil"/>
              <w:left w:val="nil"/>
              <w:bottom w:val="single" w:color="auto" w:sz="4" w:space="0"/>
              <w:right w:val="single" w:color="auto" w:sz="8" w:space="0"/>
            </w:tcBorders>
            <w:shd w:val="clear" w:color="auto" w:fill="auto"/>
            <w:tcMar>
              <w:left w:w="108" w:type="dxa"/>
              <w:right w:w="108" w:type="dxa"/>
            </w:tcMar>
            <w:vAlign w:val="center"/>
          </w:tcPr>
          <w:p w14:paraId="2E52E8AA">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反映计划提供产品或服务达到的标准、水平和效果；项目完成的质量达标产出数与实际产出数的比率；反映和考核项目产出质量目标的实现程度</w:t>
            </w:r>
          </w:p>
        </w:tc>
        <w:tc>
          <w:tcPr>
            <w:tcW w:w="277" w:type="pct"/>
            <w:tcBorders>
              <w:top w:val="nil"/>
              <w:left w:val="nil"/>
              <w:bottom w:val="single" w:color="auto" w:sz="4" w:space="0"/>
              <w:right w:val="single" w:color="auto" w:sz="8" w:space="0"/>
            </w:tcBorders>
            <w:shd w:val="clear" w:color="auto" w:fill="auto"/>
            <w:tcMar>
              <w:left w:w="108" w:type="dxa"/>
              <w:right w:w="108" w:type="dxa"/>
            </w:tcMar>
            <w:vAlign w:val="center"/>
          </w:tcPr>
          <w:p w14:paraId="5EC4287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10</w:t>
            </w:r>
          </w:p>
        </w:tc>
        <w:tc>
          <w:tcPr>
            <w:tcW w:w="1553" w:type="pct"/>
            <w:tcBorders>
              <w:top w:val="nil"/>
              <w:left w:val="nil"/>
              <w:bottom w:val="single" w:color="auto" w:sz="4" w:space="0"/>
              <w:right w:val="single" w:color="auto" w:sz="8" w:space="0"/>
            </w:tcBorders>
            <w:shd w:val="clear" w:color="auto" w:fill="auto"/>
            <w:tcMar>
              <w:left w:w="108" w:type="dxa"/>
              <w:right w:w="108" w:type="dxa"/>
            </w:tcMar>
            <w:vAlign w:val="center"/>
          </w:tcPr>
          <w:p w14:paraId="2EB9C85C">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验收合格</w:t>
            </w:r>
          </w:p>
          <w:p w14:paraId="2DD4C7B3">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（1）严格按照设计要求和国家有关规范施工，无施工缺陷计</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p>
          <w:p w14:paraId="2DA356BF">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（2）土建工程单元工程合格率</w:t>
            </w:r>
            <w:r>
              <w:rPr>
                <w:rFonts w:ascii="Times New Roman" w:hAnsi="Times New Roman" w:eastAsia="微软雅黑"/>
                <w:color w:val="000000" w:themeColor="text1"/>
                <w:sz w:val="18"/>
                <w:szCs w:val="18"/>
                <w14:textFill>
                  <w14:solidFill>
                    <w14:schemeClr w14:val="tx1"/>
                  </w14:solidFill>
                </w14:textFill>
              </w:rPr>
              <w:t>100%</w:t>
            </w:r>
            <w:r>
              <w:rPr>
                <w:rFonts w:ascii="Times New Roman" w:hAnsi="Times New Roman" w:eastAsia="仿宋"/>
                <w:color w:val="000000" w:themeColor="text1"/>
                <w:sz w:val="18"/>
                <w:szCs w:val="18"/>
                <w14:textFill>
                  <w14:solidFill>
                    <w14:schemeClr w14:val="tx1"/>
                  </w14:solidFill>
                </w14:textFill>
              </w:rPr>
              <w:t>计</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p>
          <w:p w14:paraId="34E1CAAC">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（3）确保安装工程、消防工程、通风工程单元合格率</w:t>
            </w:r>
            <w:r>
              <w:rPr>
                <w:rFonts w:ascii="Times New Roman" w:hAnsi="Times New Roman" w:eastAsia="微软雅黑"/>
                <w:color w:val="000000" w:themeColor="text1"/>
                <w:sz w:val="18"/>
                <w:szCs w:val="18"/>
                <w14:textFill>
                  <w14:solidFill>
                    <w14:schemeClr w14:val="tx1"/>
                  </w14:solidFill>
                </w14:textFill>
              </w:rPr>
              <w:t>100%</w:t>
            </w:r>
            <w:r>
              <w:rPr>
                <w:rFonts w:ascii="Times New Roman" w:hAnsi="Times New Roman" w:eastAsia="仿宋"/>
                <w:color w:val="000000" w:themeColor="text1"/>
                <w:sz w:val="18"/>
                <w:szCs w:val="18"/>
                <w14:textFill>
                  <w14:solidFill>
                    <w14:schemeClr w14:val="tx1"/>
                  </w14:solidFill>
                </w14:textFill>
              </w:rPr>
              <w:t>计</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p>
          <w:p w14:paraId="0978DD64">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（4）确保工程质量达到国家验收标准计</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4" w:space="0"/>
              <w:right w:val="single" w:color="auto" w:sz="8" w:space="0"/>
            </w:tcBorders>
            <w:shd w:val="clear" w:color="auto" w:fill="auto"/>
            <w:tcMar>
              <w:left w:w="108" w:type="dxa"/>
              <w:right w:w="108" w:type="dxa"/>
            </w:tcMar>
            <w:vAlign w:val="center"/>
          </w:tcPr>
          <w:p w14:paraId="5AAEE062">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10</w:t>
            </w:r>
          </w:p>
        </w:tc>
        <w:tc>
          <w:tcPr>
            <w:tcW w:w="511" w:type="pct"/>
            <w:tcBorders>
              <w:top w:val="nil"/>
              <w:left w:val="nil"/>
              <w:bottom w:val="single" w:color="auto" w:sz="4" w:space="0"/>
              <w:right w:val="single" w:color="auto" w:sz="8" w:space="0"/>
            </w:tcBorders>
            <w:shd w:val="clear" w:color="auto" w:fill="auto"/>
            <w:tcMar>
              <w:left w:w="108" w:type="dxa"/>
              <w:right w:w="108" w:type="dxa"/>
            </w:tcMar>
            <w:vAlign w:val="center"/>
          </w:tcPr>
          <w:p w14:paraId="32A7CAED">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48AD32FE">
        <w:tblPrEx>
          <w:tblCellMar>
            <w:top w:w="0" w:type="dxa"/>
            <w:left w:w="0" w:type="dxa"/>
            <w:bottom w:w="0" w:type="dxa"/>
            <w:right w:w="0" w:type="dxa"/>
          </w:tblCellMar>
        </w:tblPrEx>
        <w:trPr>
          <w:trHeight w:val="1287" w:hRule="atLeast"/>
          <w:jc w:val="center"/>
        </w:trPr>
        <w:tc>
          <w:tcPr>
            <w:tcW w:w="436" w:type="pct"/>
            <w:vMerge w:val="continue"/>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14:paraId="2BDC051F">
            <w:pPr>
              <w:rPr>
                <w:rFonts w:ascii="Times New Roman" w:hAnsi="Times New Roman" w:eastAsia="å¾®è½¯é›…é»‘" w:cs="Times New Roman"/>
                <w:color w:val="000000" w:themeColor="text1"/>
                <w:sz w:val="24"/>
                <w14:textFill>
                  <w14:solidFill>
                    <w14:schemeClr w14:val="tx1"/>
                  </w14:solidFill>
                </w14:textFill>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EE80523">
            <w:pPr>
              <w:pStyle w:val="6"/>
              <w:widowControl/>
              <w:spacing w:beforeAutospacing="0" w:afterAutospacing="0"/>
              <w:jc w:val="center"/>
              <w:textAlignment w:val="center"/>
              <w:rPr>
                <w:rFonts w:ascii="Times New Roman" w:hAnsi="Times New Roman" w:eastAsia="仿宋"/>
                <w:color w:val="000000" w:themeColor="text1"/>
                <w:sz w:val="18"/>
                <w:szCs w:val="18"/>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产出时效</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分</w:t>
            </w:r>
          </w:p>
          <w:p w14:paraId="4837004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444"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6ECE53E">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完成及时性</w:t>
            </w:r>
          </w:p>
        </w:tc>
        <w:tc>
          <w:tcPr>
            <w:tcW w:w="1165"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21EF39">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反映部门计划提供产品或服务的及时程度和效率情况</w:t>
            </w:r>
          </w:p>
        </w:tc>
        <w:tc>
          <w:tcPr>
            <w:tcW w:w="277"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79B3A0">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10</w:t>
            </w:r>
          </w:p>
        </w:tc>
        <w:tc>
          <w:tcPr>
            <w:tcW w:w="155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CAD8C7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保证工期按期完成</w:t>
            </w:r>
          </w:p>
          <w:p w14:paraId="3ED9E524">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工期要求：总工期计划28个月，按计划完工10分，未按计划完工5分</w:t>
            </w:r>
          </w:p>
          <w:p w14:paraId="3E2ACD73">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p>
        </w:tc>
        <w:tc>
          <w:tcPr>
            <w:tcW w:w="274"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8C8636">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5</w:t>
            </w:r>
          </w:p>
        </w:tc>
        <w:tc>
          <w:tcPr>
            <w:tcW w:w="51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F2E4D39">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调整施工进度后依然拖后1年3个月</w:t>
            </w:r>
          </w:p>
        </w:tc>
      </w:tr>
      <w:tr w14:paraId="36EAB8EC">
        <w:tblPrEx>
          <w:tblCellMar>
            <w:top w:w="0" w:type="dxa"/>
            <w:left w:w="0" w:type="dxa"/>
            <w:bottom w:w="0" w:type="dxa"/>
            <w:right w:w="0" w:type="dxa"/>
          </w:tblCellMar>
        </w:tblPrEx>
        <w:trPr>
          <w:trHeight w:val="1708" w:hRule="atLeast"/>
          <w:jc w:val="center"/>
        </w:trPr>
        <w:tc>
          <w:tcPr>
            <w:tcW w:w="436" w:type="pct"/>
            <w:vMerge w:val="continue"/>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14:paraId="3936CD74">
            <w:pPr>
              <w:rPr>
                <w:rFonts w:ascii="Times New Roman" w:hAnsi="Times New Roman" w:eastAsia="å¾®è½¯é›…é»‘" w:cs="Times New Roman"/>
                <w:color w:val="000000" w:themeColor="text1"/>
                <w:sz w:val="24"/>
                <w14:textFill>
                  <w14:solidFill>
                    <w14:schemeClr w14:val="tx1"/>
                  </w14:solidFill>
                </w14:textFill>
              </w:rPr>
            </w:pPr>
          </w:p>
        </w:tc>
        <w:tc>
          <w:tcPr>
            <w:tcW w:w="33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7314F2F">
            <w:pPr>
              <w:pStyle w:val="6"/>
              <w:widowControl/>
              <w:spacing w:beforeAutospacing="0" w:afterAutospacing="0"/>
              <w:jc w:val="center"/>
              <w:textAlignment w:val="center"/>
              <w:rPr>
                <w:rFonts w:ascii="Times New Roman" w:hAnsi="Times New Roman" w:eastAsia="仿宋"/>
                <w:color w:val="000000" w:themeColor="text1"/>
                <w:sz w:val="18"/>
                <w:szCs w:val="18"/>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产出成本</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分</w:t>
            </w:r>
          </w:p>
          <w:p w14:paraId="7F7DC7A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444" w:type="pct"/>
            <w:tcBorders>
              <w:top w:val="single" w:color="auto" w:sz="4" w:space="0"/>
              <w:left w:val="single" w:color="auto" w:sz="4" w:space="0"/>
              <w:bottom w:val="nil"/>
              <w:right w:val="single" w:color="auto" w:sz="8" w:space="0"/>
            </w:tcBorders>
            <w:shd w:val="clear" w:color="auto" w:fill="auto"/>
            <w:tcMar>
              <w:left w:w="108" w:type="dxa"/>
              <w:right w:w="108" w:type="dxa"/>
            </w:tcMar>
            <w:vAlign w:val="center"/>
          </w:tcPr>
          <w:p w14:paraId="769E2BFE">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建设成本</w:t>
            </w:r>
          </w:p>
          <w:p w14:paraId="3E999998">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c>
          <w:tcPr>
            <w:tcW w:w="1165" w:type="pct"/>
            <w:tcBorders>
              <w:top w:val="single" w:color="auto" w:sz="4" w:space="0"/>
              <w:left w:val="nil"/>
              <w:bottom w:val="nil"/>
              <w:right w:val="single" w:color="auto" w:sz="8" w:space="0"/>
            </w:tcBorders>
            <w:shd w:val="clear" w:color="auto" w:fill="auto"/>
            <w:tcMar>
              <w:left w:w="108" w:type="dxa"/>
              <w:right w:w="108" w:type="dxa"/>
            </w:tcMar>
            <w:vAlign w:val="center"/>
          </w:tcPr>
          <w:p w14:paraId="6336F96A">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完成项目计划工作目标的实际成本与计划成本的比率，用以反映和考核项目建设成本节约程度。</w:t>
            </w:r>
          </w:p>
          <w:p w14:paraId="5447954D">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c>
          <w:tcPr>
            <w:tcW w:w="277" w:type="pct"/>
            <w:tcBorders>
              <w:top w:val="single" w:color="auto" w:sz="4" w:space="0"/>
              <w:left w:val="nil"/>
              <w:bottom w:val="nil"/>
              <w:right w:val="single" w:color="auto" w:sz="8" w:space="0"/>
            </w:tcBorders>
            <w:shd w:val="clear" w:color="auto" w:fill="auto"/>
            <w:tcMar>
              <w:left w:w="108" w:type="dxa"/>
              <w:right w:w="108" w:type="dxa"/>
            </w:tcMar>
            <w:vAlign w:val="center"/>
          </w:tcPr>
          <w:p w14:paraId="141767D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10</w:t>
            </w:r>
          </w:p>
        </w:tc>
        <w:tc>
          <w:tcPr>
            <w:tcW w:w="1553" w:type="pct"/>
            <w:tcBorders>
              <w:top w:val="single" w:color="auto" w:sz="4" w:space="0"/>
              <w:left w:val="nil"/>
              <w:bottom w:val="nil"/>
              <w:right w:val="single" w:color="auto" w:sz="8" w:space="0"/>
            </w:tcBorders>
            <w:shd w:val="clear" w:color="auto" w:fill="auto"/>
            <w:tcMar>
              <w:left w:w="108" w:type="dxa"/>
              <w:right w:w="108" w:type="dxa"/>
            </w:tcMar>
            <w:vAlign w:val="center"/>
          </w:tcPr>
          <w:p w14:paraId="132EA68E">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不超过预算投资计</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分；超过小于</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计</w:t>
            </w:r>
            <w:r>
              <w:rPr>
                <w:rFonts w:ascii="Times New Roman" w:hAnsi="Times New Roman" w:eastAsia="微软雅黑"/>
                <w:color w:val="000000" w:themeColor="text1"/>
                <w:sz w:val="18"/>
                <w:szCs w:val="18"/>
                <w14:textFill>
                  <w14:solidFill>
                    <w14:schemeClr w14:val="tx1"/>
                  </w14:solidFill>
                </w14:textFill>
              </w:rPr>
              <w:t>7</w:t>
            </w:r>
            <w:r>
              <w:rPr>
                <w:rFonts w:ascii="Times New Roman" w:hAnsi="Times New Roman" w:eastAsia="仿宋"/>
                <w:color w:val="000000" w:themeColor="text1"/>
                <w:sz w:val="18"/>
                <w:szCs w:val="18"/>
                <w14:textFill>
                  <w14:solidFill>
                    <w14:schemeClr w14:val="tx1"/>
                  </w14:solidFill>
                </w14:textFill>
              </w:rPr>
              <w:t>分，超过</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不计分</w:t>
            </w:r>
          </w:p>
          <w:p w14:paraId="14F1AFB9">
            <w:pPr>
              <w:pStyle w:val="6"/>
              <w:widowControl/>
              <w:spacing w:beforeAutospacing="0" w:afterAutospacing="0"/>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建设成本节约率</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（计划建设成本</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实际建设成本）</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计划成本</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w:t>
            </w:r>
            <w:r>
              <w:rPr>
                <w:rFonts w:ascii="Times New Roman" w:hAnsi="Times New Roman" w:eastAsia="微软雅黑"/>
                <w:color w:val="000000" w:themeColor="text1"/>
                <w:sz w:val="18"/>
                <w:szCs w:val="18"/>
                <w14:textFill>
                  <w14:solidFill>
                    <w14:schemeClr w14:val="tx1"/>
                  </w14:solidFill>
                </w14:textFill>
              </w:rPr>
              <w:t>100%</w:t>
            </w:r>
            <w:r>
              <w:rPr>
                <w:rFonts w:ascii="Times New Roman" w:hAnsi="Times New Roman" w:eastAsia="仿宋"/>
                <w:color w:val="000000" w:themeColor="text1"/>
                <w:sz w:val="18"/>
                <w:szCs w:val="18"/>
                <w14:textFill>
                  <w14:solidFill>
                    <w14:schemeClr w14:val="tx1"/>
                  </w14:solidFill>
                </w14:textFill>
              </w:rPr>
              <w:t>。</w:t>
            </w:r>
          </w:p>
          <w:p w14:paraId="2ACD8DE7">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c>
          <w:tcPr>
            <w:tcW w:w="274" w:type="pct"/>
            <w:tcBorders>
              <w:top w:val="single" w:color="auto" w:sz="4" w:space="0"/>
              <w:left w:val="nil"/>
              <w:bottom w:val="nil"/>
              <w:right w:val="single" w:color="auto" w:sz="8" w:space="0"/>
            </w:tcBorders>
            <w:shd w:val="clear" w:color="auto" w:fill="auto"/>
            <w:tcMar>
              <w:left w:w="108" w:type="dxa"/>
              <w:right w:w="108" w:type="dxa"/>
            </w:tcMar>
            <w:vAlign w:val="center"/>
          </w:tcPr>
          <w:p w14:paraId="475B1F96">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0</w:t>
            </w:r>
          </w:p>
        </w:tc>
        <w:tc>
          <w:tcPr>
            <w:tcW w:w="511" w:type="pct"/>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7FAB9458">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建设成本超过计划投资42.92</w:t>
            </w:r>
            <w:r>
              <w:rPr>
                <w:rFonts w:ascii="Times New Roman" w:hAnsi="Times New Roman" w:eastAsia="微软雅黑"/>
                <w:color w:val="000000" w:themeColor="text1"/>
                <w:sz w:val="18"/>
                <w:szCs w:val="18"/>
                <w14:textFill>
                  <w14:solidFill>
                    <w14:schemeClr w14:val="tx1"/>
                  </w14:solidFill>
                </w14:textFill>
              </w:rPr>
              <w:t>%</w:t>
            </w:r>
          </w:p>
        </w:tc>
      </w:tr>
      <w:tr w14:paraId="0FDB04DF">
        <w:tblPrEx>
          <w:tblCellMar>
            <w:top w:w="0" w:type="dxa"/>
            <w:left w:w="0" w:type="dxa"/>
            <w:bottom w:w="0" w:type="dxa"/>
            <w:right w:w="0" w:type="dxa"/>
          </w:tblCellMar>
        </w:tblPrEx>
        <w:trPr>
          <w:trHeight w:val="2430" w:hRule="atLeast"/>
          <w:jc w:val="center"/>
        </w:trPr>
        <w:tc>
          <w:tcPr>
            <w:tcW w:w="436"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75901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3CA7513">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10952F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8DECE3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28B4D3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效益</w:t>
            </w:r>
          </w:p>
          <w:p w14:paraId="48791E08">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20分</w:t>
            </w:r>
          </w:p>
          <w:p w14:paraId="4E0698B1">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4FA7B10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E6A0CA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36F05BD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76EF3E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0526065D">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59C8FC1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 </w:t>
            </w:r>
          </w:p>
          <w:p w14:paraId="2D4224C9">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p>
        </w:tc>
        <w:tc>
          <w:tcPr>
            <w:tcW w:w="336" w:type="pc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40C5AB6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经济效益指标</w:t>
            </w:r>
            <w:r>
              <w:rPr>
                <w:rFonts w:ascii="Times New Roman" w:hAnsi="Times New Roman" w:eastAsia="微软雅黑"/>
                <w:color w:val="000000" w:themeColor="text1"/>
                <w:sz w:val="18"/>
                <w:szCs w:val="18"/>
                <w14:textFill>
                  <w14:solidFill>
                    <w14:schemeClr w14:val="tx1"/>
                  </w14:solidFill>
                </w14:textFill>
              </w:rPr>
              <w:t>8</w:t>
            </w:r>
            <w:r>
              <w:rPr>
                <w:rFonts w:ascii="Times New Roman" w:hAnsi="Times New Roman" w:eastAsia="仿宋"/>
                <w:color w:val="000000" w:themeColor="text1"/>
                <w:sz w:val="18"/>
                <w:szCs w:val="18"/>
                <w14:textFill>
                  <w14:solidFill>
                    <w14:schemeClr w14:val="tx1"/>
                  </w14:solidFill>
                </w14:textFill>
              </w:rPr>
              <w:t>分</w:t>
            </w:r>
          </w:p>
        </w:tc>
        <w:tc>
          <w:tcPr>
            <w:tcW w:w="44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4AC66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项目实施过程中直接或间接产生的经济效益</w:t>
            </w:r>
          </w:p>
        </w:tc>
        <w:tc>
          <w:tcPr>
            <w:tcW w:w="116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86A20A">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反映与既定绩效目标相关的、预期结果的实现程度和影响</w:t>
            </w:r>
          </w:p>
        </w:tc>
        <w:tc>
          <w:tcPr>
            <w:tcW w:w="277"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B622FD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8</w:t>
            </w:r>
          </w:p>
        </w:tc>
        <w:tc>
          <w:tcPr>
            <w:tcW w:w="155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D1BBB8">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促进本地医疗及中医药事业的发展计</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p>
          <w:p w14:paraId="2D6E004A">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改善医疗就诊环境计</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p>
          <w:p w14:paraId="591E2A9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提高就医、就诊质量计</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14:paraId="734805C0">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8</w:t>
            </w:r>
          </w:p>
        </w:tc>
        <w:tc>
          <w:tcPr>
            <w:tcW w:w="51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DFEEFB">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36FA577D">
        <w:tblPrEx>
          <w:tblCellMar>
            <w:top w:w="0" w:type="dxa"/>
            <w:left w:w="0" w:type="dxa"/>
            <w:bottom w:w="0" w:type="dxa"/>
            <w:right w:w="0" w:type="dxa"/>
          </w:tblCellMar>
        </w:tblPrEx>
        <w:trPr>
          <w:trHeight w:val="312"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D59858">
            <w:pPr>
              <w:rPr>
                <w:rFonts w:ascii="Times New Roman" w:hAnsi="Times New Roman" w:eastAsia="å¾®è½¯é›…é»‘" w:cs="Times New Roman"/>
                <w:color w:val="000000" w:themeColor="text1"/>
                <w:sz w:val="24"/>
                <w14:textFill>
                  <w14:solidFill>
                    <w14:schemeClr w14:val="tx1"/>
                  </w14:solidFill>
                </w14:textFill>
              </w:rPr>
            </w:pPr>
          </w:p>
        </w:tc>
        <w:tc>
          <w:tcPr>
            <w:tcW w:w="336" w:type="pct"/>
            <w:tcBorders>
              <w:top w:val="nil"/>
              <w:left w:val="nil"/>
              <w:bottom w:val="single" w:color="auto" w:sz="8" w:space="0"/>
              <w:right w:val="single" w:color="auto" w:sz="8" w:space="0"/>
            </w:tcBorders>
            <w:shd w:val="clear" w:color="auto" w:fill="auto"/>
            <w:tcMar>
              <w:left w:w="108" w:type="dxa"/>
              <w:right w:w="108" w:type="dxa"/>
            </w:tcMar>
            <w:vAlign w:val="center"/>
          </w:tcPr>
          <w:p w14:paraId="3298688A">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社会效益指标</w:t>
            </w:r>
            <w:r>
              <w:rPr>
                <w:rFonts w:ascii="Times New Roman" w:hAnsi="Times New Roman" w:eastAsia="微软雅黑"/>
                <w:color w:val="000000" w:themeColor="text1"/>
                <w:sz w:val="18"/>
                <w:szCs w:val="18"/>
                <w14:textFill>
                  <w14:solidFill>
                    <w14:schemeClr w14:val="tx1"/>
                  </w14:solidFill>
                </w14:textFill>
              </w:rPr>
              <w:t>6</w:t>
            </w:r>
            <w:r>
              <w:rPr>
                <w:rFonts w:ascii="Times New Roman" w:hAnsi="Times New Roman" w:eastAsia="仿宋"/>
                <w:color w:val="000000" w:themeColor="text1"/>
                <w:sz w:val="18"/>
                <w:szCs w:val="18"/>
                <w14:textFill>
                  <w14:solidFill>
                    <w14:schemeClr w14:val="tx1"/>
                  </w14:solidFill>
                </w14:textFill>
              </w:rPr>
              <w:t>分</w:t>
            </w:r>
          </w:p>
          <w:p w14:paraId="313D8437">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037A1D22">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项目实施过程中产生的社会效益</w:t>
            </w:r>
          </w:p>
          <w:p w14:paraId="7677B4F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2FCB1EE2">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反映与既定绩效目标相关的、预期结果的实现程度和影主要污染物削减量；是否存在有刺鼻气味等，群众对污水处理过程中的生态环境保护是否满意。</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21675A77">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6</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6267D32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患者就诊效率提高，提高</w:t>
            </w:r>
            <w:r>
              <w:rPr>
                <w:rFonts w:ascii="Times New Roman" w:hAnsi="Times New Roman" w:eastAsia="微软雅黑"/>
                <w:color w:val="000000" w:themeColor="text1"/>
                <w:sz w:val="18"/>
                <w:szCs w:val="18"/>
                <w14:textFill>
                  <w14:solidFill>
                    <w14:schemeClr w14:val="tx1"/>
                  </w14:solidFill>
                </w14:textFill>
              </w:rPr>
              <w:t>30%</w:t>
            </w:r>
            <w:r>
              <w:rPr>
                <w:rFonts w:ascii="Times New Roman" w:hAnsi="Times New Roman" w:eastAsia="仿宋"/>
                <w:color w:val="000000" w:themeColor="text1"/>
                <w:sz w:val="18"/>
                <w:szCs w:val="18"/>
                <w14:textFill>
                  <w14:solidFill>
                    <w14:schemeClr w14:val="tx1"/>
                  </w14:solidFill>
                </w14:textFill>
              </w:rPr>
              <w:t>计</w:t>
            </w:r>
            <w:r>
              <w:rPr>
                <w:rFonts w:ascii="Times New Roman" w:hAnsi="Times New Roman" w:eastAsia="微软雅黑"/>
                <w:color w:val="000000" w:themeColor="text1"/>
                <w:sz w:val="18"/>
                <w:szCs w:val="18"/>
                <w14:textFill>
                  <w14:solidFill>
                    <w14:schemeClr w14:val="tx1"/>
                  </w14:solidFill>
                </w14:textFill>
              </w:rPr>
              <w:t>3</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微软雅黑"/>
                <w:color w:val="000000" w:themeColor="text1"/>
                <w:sz w:val="18"/>
                <w:szCs w:val="18"/>
                <w14:textFill>
                  <w14:solidFill>
                    <w14:schemeClr w14:val="tx1"/>
                  </w14:solidFill>
                </w14:textFill>
              </w:rPr>
              <w:t>20%</w:t>
            </w:r>
            <w:r>
              <w:rPr>
                <w:rFonts w:ascii="Times New Roman" w:hAnsi="Times New Roman" w:eastAsia="仿宋"/>
                <w:color w:val="000000" w:themeColor="text1"/>
                <w:sz w:val="18"/>
                <w:szCs w:val="18"/>
                <w14:textFill>
                  <w14:solidFill>
                    <w14:schemeClr w14:val="tx1"/>
                  </w14:solidFill>
                </w14:textFill>
              </w:rPr>
              <w:t>计</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r>
              <w:rPr>
                <w:rFonts w:ascii="Times New Roman" w:hAnsi="Times New Roman" w:eastAsia="微软雅黑"/>
                <w:color w:val="000000" w:themeColor="text1"/>
                <w:sz w:val="18"/>
                <w:szCs w:val="18"/>
                <w14:textFill>
                  <w14:solidFill>
                    <w14:schemeClr w14:val="tx1"/>
                  </w14:solidFill>
                </w14:textFill>
              </w:rPr>
              <w:t>10%</w:t>
            </w:r>
            <w:r>
              <w:rPr>
                <w:rFonts w:ascii="Times New Roman" w:hAnsi="Times New Roman" w:eastAsia="仿宋"/>
                <w:color w:val="000000" w:themeColor="text1"/>
                <w:sz w:val="18"/>
                <w:szCs w:val="18"/>
                <w14:textFill>
                  <w14:solidFill>
                    <w14:schemeClr w14:val="tx1"/>
                  </w14:solidFill>
                </w14:textFill>
              </w:rPr>
              <w:t>计</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p>
          <w:p w14:paraId="0FE63912">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患者就诊环境、质量、就诊时间效率提高计</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p>
          <w:p w14:paraId="17EFDEE9">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改善投资环境</w:t>
            </w:r>
            <w:r>
              <w:rPr>
                <w:rFonts w:ascii="Times New Roman" w:hAnsi="Times New Roman" w:eastAsia="微软雅黑"/>
                <w:color w:val="000000" w:themeColor="text1"/>
                <w:sz w:val="18"/>
                <w:szCs w:val="18"/>
                <w14:textFill>
                  <w14:solidFill>
                    <w14:schemeClr w14:val="tx1"/>
                  </w14:solidFill>
                </w14:textFill>
              </w:rPr>
              <w:t>,</w:t>
            </w:r>
            <w:r>
              <w:rPr>
                <w:rFonts w:ascii="Times New Roman" w:hAnsi="Times New Roman" w:eastAsia="仿宋"/>
                <w:color w:val="000000" w:themeColor="text1"/>
                <w:sz w:val="18"/>
                <w:szCs w:val="18"/>
                <w14:textFill>
                  <w14:solidFill>
                    <w14:schemeClr w14:val="tx1"/>
                  </w14:solidFill>
                </w14:textFill>
              </w:rPr>
              <w:t>促进招商引资计</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分</w:t>
            </w:r>
          </w:p>
          <w:p w14:paraId="0F3DCBF6">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c>
          <w:tcPr>
            <w:tcW w:w="274" w:type="pct"/>
            <w:tcBorders>
              <w:top w:val="nil"/>
              <w:left w:val="nil"/>
              <w:bottom w:val="single" w:color="auto" w:sz="8" w:space="0"/>
              <w:right w:val="single" w:color="auto" w:sz="4" w:space="0"/>
            </w:tcBorders>
            <w:shd w:val="clear" w:color="auto" w:fill="auto"/>
            <w:tcMar>
              <w:left w:w="108" w:type="dxa"/>
              <w:right w:w="108" w:type="dxa"/>
            </w:tcMar>
            <w:vAlign w:val="center"/>
          </w:tcPr>
          <w:p w14:paraId="1D678AD2">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6</w:t>
            </w:r>
          </w:p>
        </w:tc>
        <w:tc>
          <w:tcPr>
            <w:tcW w:w="51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5A7168">
            <w:pPr>
              <w:rPr>
                <w:rFonts w:ascii="Times New Roman" w:hAnsi="Times New Roman" w:eastAsia="å¾®è½¯é›…é»‘" w:cs="Times New Roman"/>
                <w:color w:val="000000" w:themeColor="text1"/>
                <w:sz w:val="24"/>
                <w14:textFill>
                  <w14:solidFill>
                    <w14:schemeClr w14:val="tx1"/>
                  </w14:solidFill>
                </w14:textFill>
              </w:rPr>
            </w:pPr>
          </w:p>
        </w:tc>
      </w:tr>
      <w:tr w14:paraId="2B11D43D">
        <w:tblPrEx>
          <w:tblCellMar>
            <w:top w:w="0" w:type="dxa"/>
            <w:left w:w="0" w:type="dxa"/>
            <w:bottom w:w="0" w:type="dxa"/>
            <w:right w:w="0" w:type="dxa"/>
          </w:tblCellMar>
        </w:tblPrEx>
        <w:trPr>
          <w:trHeight w:val="94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5872A9">
            <w:pPr>
              <w:rPr>
                <w:rFonts w:ascii="Times New Roman" w:hAnsi="Times New Roman" w:eastAsia="å¾®è½¯é›…é»‘" w:cs="Times New Roman"/>
                <w:color w:val="000000" w:themeColor="text1"/>
                <w:sz w:val="24"/>
                <w14:textFill>
                  <w14:solidFill>
                    <w14:schemeClr w14:val="tx1"/>
                  </w14:solidFill>
                </w14:textFill>
              </w:rPr>
            </w:pPr>
          </w:p>
        </w:tc>
        <w:tc>
          <w:tcPr>
            <w:tcW w:w="336" w:type="pct"/>
            <w:tcBorders>
              <w:top w:val="nil"/>
              <w:left w:val="nil"/>
              <w:bottom w:val="single" w:color="auto" w:sz="8" w:space="0"/>
              <w:right w:val="single" w:color="auto" w:sz="8" w:space="0"/>
            </w:tcBorders>
            <w:shd w:val="clear" w:color="auto" w:fill="auto"/>
            <w:tcMar>
              <w:left w:w="108" w:type="dxa"/>
              <w:right w:w="108" w:type="dxa"/>
            </w:tcMar>
            <w:vAlign w:val="center"/>
          </w:tcPr>
          <w:p w14:paraId="0814E28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可持续影响指标</w:t>
            </w:r>
            <w:r>
              <w:rPr>
                <w:rFonts w:ascii="Times New Roman" w:hAnsi="Times New Roman" w:eastAsia="微软雅黑"/>
                <w:color w:val="000000" w:themeColor="text1"/>
                <w:sz w:val="18"/>
                <w:szCs w:val="18"/>
                <w14:textFill>
                  <w14:solidFill>
                    <w14:schemeClr w14:val="tx1"/>
                  </w14:solidFill>
                </w14:textFill>
              </w:rPr>
              <w:t>4</w:t>
            </w:r>
            <w:r>
              <w:rPr>
                <w:rFonts w:ascii="Times New Roman" w:hAnsi="Times New Roman" w:eastAsia="仿宋"/>
                <w:color w:val="000000" w:themeColor="text1"/>
                <w:sz w:val="18"/>
                <w:szCs w:val="18"/>
                <w14:textFill>
                  <w14:solidFill>
                    <w14:schemeClr w14:val="tx1"/>
                  </w14:solidFill>
                </w14:textFill>
              </w:rPr>
              <w:t>分</w:t>
            </w: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22BA3BF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项目实施可持续影响</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6DEB894D">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项目后续运行及成效发挥的可持续影响情况。其中包括项目完成后，后续政策、资金、人员机构安排和管理措施等影响项目持续发展的因素，以及项目实施对人、环境、资源是否影响可持续发展</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6EC7BA36">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4</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5E431688">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促进周边环境改善计</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p>
          <w:p w14:paraId="7C9E27B2">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促进社会的和谐稳定，促进当地经济的可持续发展计</w:t>
            </w:r>
            <w:r>
              <w:rPr>
                <w:rFonts w:ascii="Times New Roman" w:hAnsi="Times New Roman" w:eastAsia="微软雅黑"/>
                <w:color w:val="000000" w:themeColor="text1"/>
                <w:sz w:val="18"/>
                <w:szCs w:val="18"/>
                <w14:textFill>
                  <w14:solidFill>
                    <w14:schemeClr w14:val="tx1"/>
                  </w14:solidFill>
                </w14:textFill>
              </w:rPr>
              <w:t>2</w:t>
            </w:r>
            <w:r>
              <w:rPr>
                <w:rFonts w:ascii="Times New Roman" w:hAnsi="Times New Roman" w:eastAsia="仿宋"/>
                <w:color w:val="000000" w:themeColor="text1"/>
                <w:sz w:val="18"/>
                <w:szCs w:val="18"/>
                <w14:textFill>
                  <w14:solidFill>
                    <w14:schemeClr w14:val="tx1"/>
                  </w14:solidFill>
                </w14:textFill>
              </w:rPr>
              <w:t>分</w:t>
            </w:r>
          </w:p>
        </w:tc>
        <w:tc>
          <w:tcPr>
            <w:tcW w:w="274" w:type="pct"/>
            <w:tcBorders>
              <w:top w:val="nil"/>
              <w:left w:val="nil"/>
              <w:bottom w:val="single" w:color="auto" w:sz="8" w:space="0"/>
              <w:right w:val="single" w:color="auto" w:sz="4" w:space="0"/>
            </w:tcBorders>
            <w:shd w:val="clear" w:color="auto" w:fill="auto"/>
            <w:tcMar>
              <w:left w:w="108" w:type="dxa"/>
              <w:right w:w="108" w:type="dxa"/>
            </w:tcMar>
            <w:vAlign w:val="center"/>
          </w:tcPr>
          <w:p w14:paraId="61F48BE9">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4</w:t>
            </w:r>
          </w:p>
        </w:tc>
        <w:tc>
          <w:tcPr>
            <w:tcW w:w="51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5B1EBD5">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p>
        </w:tc>
      </w:tr>
      <w:tr w14:paraId="250B410A">
        <w:tblPrEx>
          <w:tblCellMar>
            <w:top w:w="0" w:type="dxa"/>
            <w:left w:w="0" w:type="dxa"/>
            <w:bottom w:w="0" w:type="dxa"/>
            <w:right w:w="0" w:type="dxa"/>
          </w:tblCellMar>
        </w:tblPrEx>
        <w:trPr>
          <w:trHeight w:val="720" w:hRule="atLeast"/>
          <w:jc w:val="center"/>
        </w:trPr>
        <w:tc>
          <w:tcPr>
            <w:tcW w:w="43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A5690A">
            <w:pPr>
              <w:rPr>
                <w:rFonts w:ascii="Times New Roman" w:hAnsi="Times New Roman" w:eastAsia="å¾®è½¯é›…é»‘" w:cs="Times New Roman"/>
                <w:color w:val="000000" w:themeColor="text1"/>
                <w:sz w:val="24"/>
                <w14:textFill>
                  <w14:solidFill>
                    <w14:schemeClr w14:val="tx1"/>
                  </w14:solidFill>
                </w14:textFill>
              </w:rPr>
            </w:pPr>
          </w:p>
        </w:tc>
        <w:tc>
          <w:tcPr>
            <w:tcW w:w="336" w:type="pct"/>
            <w:tcBorders>
              <w:top w:val="nil"/>
              <w:left w:val="nil"/>
              <w:bottom w:val="single" w:color="auto" w:sz="8" w:space="0"/>
              <w:right w:val="single" w:color="auto" w:sz="8" w:space="0"/>
            </w:tcBorders>
            <w:shd w:val="clear" w:color="auto" w:fill="auto"/>
            <w:tcMar>
              <w:left w:w="108" w:type="dxa"/>
              <w:right w:w="108" w:type="dxa"/>
            </w:tcMar>
            <w:vAlign w:val="center"/>
          </w:tcPr>
          <w:p w14:paraId="64BFF8EC">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服务对象满意度指标</w:t>
            </w:r>
          </w:p>
          <w:p w14:paraId="49F54D6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2分</w:t>
            </w:r>
          </w:p>
        </w:tc>
        <w:tc>
          <w:tcPr>
            <w:tcW w:w="444" w:type="pct"/>
            <w:tcBorders>
              <w:top w:val="nil"/>
              <w:left w:val="nil"/>
              <w:bottom w:val="single" w:color="auto" w:sz="8" w:space="0"/>
              <w:right w:val="single" w:color="auto" w:sz="8" w:space="0"/>
            </w:tcBorders>
            <w:shd w:val="clear" w:color="auto" w:fill="auto"/>
            <w:tcMar>
              <w:left w:w="108" w:type="dxa"/>
              <w:right w:w="108" w:type="dxa"/>
            </w:tcMar>
            <w:vAlign w:val="center"/>
          </w:tcPr>
          <w:p w14:paraId="22FE5C35">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群众满意度</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323A90E4">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社会公众或服务对象项目实施效果的满意程度。</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5E289F94">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376AD302">
            <w:pPr>
              <w:pStyle w:val="6"/>
              <w:widowControl/>
              <w:spacing w:beforeAutospacing="0" w:afterAutospacing="0"/>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满意度在</w:t>
            </w:r>
            <w:r>
              <w:rPr>
                <w:rFonts w:ascii="Times New Roman" w:hAnsi="Times New Roman" w:eastAsia="微软雅黑"/>
                <w:color w:val="000000" w:themeColor="text1"/>
                <w:sz w:val="18"/>
                <w:szCs w:val="18"/>
                <w14:textFill>
                  <w14:solidFill>
                    <w14:schemeClr w14:val="tx1"/>
                  </w14:solidFill>
                </w14:textFill>
              </w:rPr>
              <w:t>90%</w:t>
            </w:r>
            <w:r>
              <w:rPr>
                <w:rFonts w:ascii="Times New Roman" w:hAnsi="Times New Roman" w:eastAsia="仿宋"/>
                <w:color w:val="000000" w:themeColor="text1"/>
                <w:sz w:val="18"/>
                <w:szCs w:val="18"/>
                <w14:textFill>
                  <w14:solidFill>
                    <w14:schemeClr w14:val="tx1"/>
                  </w14:solidFill>
                </w14:textFill>
              </w:rPr>
              <w:t>及以上记满分，每降低</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，扣减该指标总分值的</w:t>
            </w:r>
            <w:r>
              <w:rPr>
                <w:rFonts w:ascii="Times New Roman" w:hAnsi="Times New Roman" w:eastAsia="微软雅黑"/>
                <w:color w:val="000000" w:themeColor="text1"/>
                <w:sz w:val="18"/>
                <w:szCs w:val="18"/>
                <w14:textFill>
                  <w14:solidFill>
                    <w14:schemeClr w14:val="tx1"/>
                  </w14:solidFill>
                </w14:textFill>
              </w:rPr>
              <w:t>1%</w:t>
            </w:r>
            <w:r>
              <w:rPr>
                <w:rFonts w:ascii="Times New Roman" w:hAnsi="Times New Roman" w:eastAsia="仿宋"/>
                <w:color w:val="000000" w:themeColor="text1"/>
                <w:sz w:val="18"/>
                <w:szCs w:val="18"/>
                <w14:textFill>
                  <w14:solidFill>
                    <w14:schemeClr w14:val="tx1"/>
                  </w14:solidFill>
                </w14:textFill>
              </w:rPr>
              <w:t>，依次类推，扣完为止</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32BC2C18">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2</w:t>
            </w:r>
          </w:p>
        </w:tc>
        <w:tc>
          <w:tcPr>
            <w:tcW w:w="511" w:type="pc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3870BC4A">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18"/>
                <w:szCs w:val="18"/>
                <w14:textFill>
                  <w14:solidFill>
                    <w14:schemeClr w14:val="tx1"/>
                  </w14:solidFill>
                </w14:textFill>
              </w:rPr>
              <w:t> </w:t>
            </w:r>
          </w:p>
        </w:tc>
      </w:tr>
      <w:tr w14:paraId="223A3575">
        <w:tblPrEx>
          <w:tblCellMar>
            <w:top w:w="0" w:type="dxa"/>
            <w:left w:w="0" w:type="dxa"/>
            <w:bottom w:w="0" w:type="dxa"/>
            <w:right w:w="0" w:type="dxa"/>
          </w:tblCellMar>
        </w:tblPrEx>
        <w:trPr>
          <w:trHeight w:val="400" w:hRule="atLeast"/>
          <w:jc w:val="center"/>
        </w:trPr>
        <w:tc>
          <w:tcPr>
            <w:tcW w:w="1218" w:type="pct"/>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812C8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sz w:val="18"/>
                <w:szCs w:val="18"/>
                <w14:textFill>
                  <w14:solidFill>
                    <w14:schemeClr w14:val="tx1"/>
                  </w14:solidFill>
                </w14:textFill>
              </w:rPr>
              <w:t>合计</w:t>
            </w:r>
          </w:p>
        </w:tc>
        <w:tc>
          <w:tcPr>
            <w:tcW w:w="1165" w:type="pct"/>
            <w:tcBorders>
              <w:top w:val="nil"/>
              <w:left w:val="nil"/>
              <w:bottom w:val="single" w:color="auto" w:sz="8" w:space="0"/>
              <w:right w:val="single" w:color="auto" w:sz="8" w:space="0"/>
            </w:tcBorders>
            <w:shd w:val="clear" w:color="auto" w:fill="auto"/>
            <w:tcMar>
              <w:left w:w="108" w:type="dxa"/>
              <w:right w:w="108" w:type="dxa"/>
            </w:tcMar>
            <w:vAlign w:val="center"/>
          </w:tcPr>
          <w:p w14:paraId="5F794FF1">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sz w:val="18"/>
                <w:szCs w:val="18"/>
                <w14:textFill>
                  <w14:solidFill>
                    <w14:schemeClr w14:val="tx1"/>
                  </w14:solidFill>
                </w14:textFill>
              </w:rPr>
              <w:t> </w:t>
            </w:r>
          </w:p>
        </w:tc>
        <w:tc>
          <w:tcPr>
            <w:tcW w:w="277" w:type="pct"/>
            <w:tcBorders>
              <w:top w:val="nil"/>
              <w:left w:val="nil"/>
              <w:bottom w:val="single" w:color="auto" w:sz="8" w:space="0"/>
              <w:right w:val="single" w:color="auto" w:sz="8" w:space="0"/>
            </w:tcBorders>
            <w:shd w:val="clear" w:color="auto" w:fill="auto"/>
            <w:tcMar>
              <w:left w:w="108" w:type="dxa"/>
              <w:right w:w="108" w:type="dxa"/>
            </w:tcMar>
            <w:vAlign w:val="center"/>
          </w:tcPr>
          <w:p w14:paraId="6B0BFD1F">
            <w:pPr>
              <w:pStyle w:val="6"/>
              <w:widowControl/>
              <w:spacing w:beforeAutospacing="0" w:afterAutospacing="0"/>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sz w:val="18"/>
                <w:szCs w:val="18"/>
                <w14:textFill>
                  <w14:solidFill>
                    <w14:schemeClr w14:val="tx1"/>
                  </w14:solidFill>
                </w14:textFill>
              </w:rPr>
              <w:t>100</w:t>
            </w:r>
          </w:p>
        </w:tc>
        <w:tc>
          <w:tcPr>
            <w:tcW w:w="1553" w:type="pct"/>
            <w:tcBorders>
              <w:top w:val="nil"/>
              <w:left w:val="nil"/>
              <w:bottom w:val="single" w:color="auto" w:sz="8" w:space="0"/>
              <w:right w:val="single" w:color="auto" w:sz="8" w:space="0"/>
            </w:tcBorders>
            <w:shd w:val="clear" w:color="auto" w:fill="auto"/>
            <w:tcMar>
              <w:left w:w="108" w:type="dxa"/>
              <w:right w:w="108" w:type="dxa"/>
            </w:tcMar>
            <w:vAlign w:val="center"/>
          </w:tcPr>
          <w:p w14:paraId="17CC7D97">
            <w:pPr>
              <w:pStyle w:val="6"/>
              <w:widowControl/>
              <w:spacing w:beforeAutospacing="0" w:afterAutospacing="0"/>
              <w:jc w:val="both"/>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sz w:val="18"/>
                <w:szCs w:val="18"/>
                <w14:textFill>
                  <w14:solidFill>
                    <w14:schemeClr w14:val="tx1"/>
                  </w14:solidFill>
                </w14:textFill>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14:paraId="485034B6">
            <w:pPr>
              <w:pStyle w:val="6"/>
              <w:widowControl/>
              <w:spacing w:beforeAutospacing="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sz w:val="15"/>
                <w:szCs w:val="15"/>
                <w14:textFill>
                  <w14:solidFill>
                    <w14:schemeClr w14:val="tx1"/>
                  </w14:solidFill>
                </w14:textFill>
              </w:rPr>
              <w:t>78.5</w:t>
            </w:r>
          </w:p>
        </w:tc>
        <w:tc>
          <w:tcPr>
            <w:tcW w:w="511" w:type="pct"/>
            <w:tcBorders>
              <w:top w:val="nil"/>
              <w:left w:val="nil"/>
              <w:bottom w:val="single" w:color="auto" w:sz="8" w:space="0"/>
              <w:right w:val="single" w:color="auto" w:sz="8" w:space="0"/>
            </w:tcBorders>
            <w:shd w:val="clear" w:color="auto" w:fill="auto"/>
            <w:tcMar>
              <w:left w:w="108" w:type="dxa"/>
              <w:right w:w="108" w:type="dxa"/>
            </w:tcMar>
            <w:vAlign w:val="center"/>
          </w:tcPr>
          <w:p w14:paraId="676BF1A7">
            <w:pPr>
              <w:pStyle w:val="6"/>
              <w:widowControl/>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eastAsia="仿宋"/>
                <w:b/>
                <w:bCs/>
                <w:color w:val="000000" w:themeColor="text1"/>
                <w:sz w:val="18"/>
                <w:szCs w:val="18"/>
                <w14:textFill>
                  <w14:solidFill>
                    <w14:schemeClr w14:val="tx1"/>
                  </w14:solidFill>
                </w14:textFill>
              </w:rPr>
              <w:t> </w:t>
            </w:r>
          </w:p>
        </w:tc>
      </w:tr>
    </w:tbl>
    <w:p w14:paraId="002CC413">
      <w:pPr>
        <w:pStyle w:val="3"/>
        <w:widowControl/>
        <w:shd w:val="clear" w:color="auto" w:fill="FFFFFF"/>
        <w:spacing w:beforeAutospacing="0" w:afterAutospacing="0"/>
        <w:rPr>
          <w:rFonts w:hint="default" w:ascii="Times New Roman" w:hAnsi="Times New Roman" w:eastAsia="微软雅黑"/>
          <w:color w:val="000000" w:themeColor="text1"/>
          <w14:textFill>
            <w14:solidFill>
              <w14:schemeClr w14:val="tx1"/>
            </w14:solidFill>
          </w14:textFill>
        </w:rPr>
      </w:pPr>
      <w:r>
        <w:rPr>
          <w:rFonts w:hint="default" w:ascii="Times New Roman" w:hAnsi="Times New Roman" w:eastAsia="微软雅黑"/>
          <w:color w:val="000000" w:themeColor="text1"/>
          <w:shd w:val="clear" w:color="auto" w:fill="FFFFFF"/>
          <w14:textFill>
            <w14:solidFill>
              <w14:schemeClr w14:val="tx1"/>
            </w14:solidFill>
          </w14:textFill>
        </w:rPr>
        <w:t> </w:t>
      </w:r>
    </w:p>
    <w:p w14:paraId="2114E5AD">
      <w:pPr>
        <w:pStyle w:val="6"/>
        <w:widowControl/>
        <w:shd w:val="clear" w:color="auto" w:fill="FFFFFF"/>
        <w:spacing w:beforeAutospacing="0" w:afterAutospacing="0"/>
        <w:rPr>
          <w:rFonts w:hint="eastAsia"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 </w:t>
      </w:r>
    </w:p>
    <w:p w14:paraId="1FFC8916">
      <w:pPr>
        <w:pStyle w:val="6"/>
        <w:widowControl/>
        <w:shd w:val="clear" w:color="auto" w:fill="FFFFFF"/>
        <w:spacing w:beforeAutospacing="0" w:afterAutospacing="0"/>
        <w:rPr>
          <w:rFonts w:ascii="Times New Roman" w:hAnsi="Times New Roman" w:eastAsia="仿宋"/>
          <w:color w:val="000000" w:themeColor="text1"/>
          <w:sz w:val="32"/>
          <w:szCs w:val="32"/>
          <w:shd w:val="clear" w:color="auto" w:fill="FFFFFF"/>
          <w14:textFill>
            <w14:solidFill>
              <w14:schemeClr w14:val="tx1"/>
            </w14:solidFill>
          </w14:textFill>
        </w:rPr>
      </w:pPr>
    </w:p>
    <w:p w14:paraId="3785651B">
      <w:pPr>
        <w:jc w:val="center"/>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项目满意度问卷调查表</w:t>
      </w:r>
    </w:p>
    <w:p w14:paraId="231D7EF2">
      <w:pPr>
        <w:widowControl/>
        <w:shd w:val="clear" w:color="auto" w:fill="FFFFFF"/>
        <w:spacing w:line="590" w:lineRule="atLeast"/>
        <w:ind w:firstLine="632"/>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感谢您参加沾益区第二人民医院项目建设的问卷调查，为了提高我们的决策水平、管理能力、服务质量，我们诚邀您 填写以下项目满意度问卷调查表。</w:t>
      </w:r>
    </w:p>
    <w:p w14:paraId="583660E0">
      <w:pPr>
        <w:widowControl/>
        <w:shd w:val="clear" w:color="auto" w:fill="FFFFFF"/>
        <w:spacing w:line="590" w:lineRule="atLeast"/>
        <w:ind w:firstLine="632"/>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请您根据您的实际经历， 对以下问题进行评价。 所有选项均为五 分制(1 分：非常不满意； 2 分：不满意； 3 分：一般； 4 分：满意； 5 分：非常满意)，请您在相应的选项上打“ √ ”，并在相应的空格中填写您的建议和意见。</w:t>
      </w:r>
    </w:p>
    <w:p w14:paraId="58E8225A">
      <w:pPr>
        <w:widowControl/>
        <w:numPr>
          <w:ilvl w:val="0"/>
          <w:numId w:val="5"/>
        </w:numPr>
        <w:shd w:val="clear" w:color="auto" w:fill="FFFFFF"/>
        <w:spacing w:line="590" w:lineRule="atLeast"/>
        <w:ind w:firstLine="632"/>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 本项目的选址是否符合您的要求？</w:t>
      </w:r>
    </w:p>
    <w:p w14:paraId="4A9A2231">
      <w:pPr>
        <w:widowControl/>
        <w:shd w:val="clear" w:color="auto" w:fill="FFFFFF"/>
        <w:spacing w:line="590" w:lineRule="atLeast"/>
        <w:ind w:left="632"/>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 ) 1 分 ( ) 2 分 ( ) 3 分 ( ) 4 分 (√ ) 5 分</w:t>
      </w:r>
    </w:p>
    <w:p w14:paraId="4EDC2213">
      <w:pPr>
        <w:widowControl/>
        <w:shd w:val="clear" w:color="auto" w:fill="FFFFFF"/>
        <w:ind w:left="559" w:leftChars="266"/>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2、本项目的实施进度是否符合您的要求？        ( ) 1 分 ( ) 2 分 ( ) 3 分 ( √) 4 分 ( ) 5 分</w:t>
      </w:r>
    </w:p>
    <w:p w14:paraId="246D9F61">
      <w:pPr>
        <w:widowControl/>
        <w:shd w:val="clear" w:color="auto" w:fill="FFFFFF"/>
        <w:spacing w:line="590" w:lineRule="atLeast"/>
        <w:ind w:left="559" w:leftChars="266"/>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3、 本项目的建设质量是否符合您的要求？( ) 1 分 ( ) 2 分 ( ) 3 分 ( ) 4 分 (√ ) 5 分</w:t>
      </w:r>
    </w:p>
    <w:p w14:paraId="4C476E8A">
      <w:pPr>
        <w:widowControl/>
        <w:shd w:val="clear" w:color="auto" w:fill="FFFFFF"/>
        <w:spacing w:line="590" w:lineRule="atLeast"/>
        <w:ind w:left="559" w:leftChars="266"/>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4、 本项目营运期间服务态度是否符合您的要求？( ) 1 分 ( ) 2 分 ( ) 3 分 ( ) 4 分 ( √) 5 分</w:t>
      </w:r>
    </w:p>
    <w:p w14:paraId="514CB095">
      <w:pPr>
        <w:widowControl/>
        <w:shd w:val="clear" w:color="auto" w:fill="FFFFFF"/>
        <w:spacing w:line="590" w:lineRule="atLeast"/>
        <w:ind w:left="559" w:leftChars="266"/>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 5、本项目整体效果是否符合您的要求？( ) 1 分 ( ) 2 分 ( ) 3 分 ( ) 4 分 (√ ) 5 分</w:t>
      </w:r>
    </w:p>
    <w:p w14:paraId="314A5ACD">
      <w:pPr>
        <w:widowControl/>
        <w:shd w:val="clear" w:color="auto" w:fill="FFFFFF"/>
        <w:spacing w:line="590" w:lineRule="atLeast"/>
        <w:ind w:left="559" w:leftChars="266"/>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6、您对本项目建设的总体评价？( ) 1 分 ( ) 2 分 ( ) 3 分 ( ) 4 分 ( √) 5 分</w:t>
      </w:r>
    </w:p>
    <w:p w14:paraId="4011EED2">
      <w:pPr>
        <w:widowControl/>
        <w:shd w:val="clear" w:color="auto" w:fill="FFFFFF"/>
        <w:spacing w:line="590" w:lineRule="atLeast"/>
        <w:ind w:firstLine="584" w:firstLineChars="200"/>
        <w:jc w:val="left"/>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 7、您对本项目建设管理的建议和意见？</w:t>
      </w:r>
    </w:p>
    <w:p w14:paraId="2181BA46">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仿宋_GB2312" w:cs="Times New Roman"/>
          <w:color w:val="000000" w:themeColor="text1"/>
          <w:spacing w:val="6"/>
          <w:kern w:val="0"/>
          <w:sz w:val="28"/>
          <w:szCs w:val="28"/>
          <w:shd w:val="clear" w:color="auto" w:fill="FFFFFF"/>
          <w:lang w:bidi="ar"/>
          <w14:textFill>
            <w14:solidFill>
              <w14:schemeClr w14:val="tx1"/>
            </w14:solidFill>
          </w14:textFill>
        </w:rPr>
        <w:t xml:space="preserve"> 加强前期调研，实行限额设计，严格把控投资、夯实责任。</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0BD7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D34D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0A1F1">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F0A1F1">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6E9AE"/>
    <w:multiLevelType w:val="singleLevel"/>
    <w:tmpl w:val="A846E9AE"/>
    <w:lvl w:ilvl="0" w:tentative="0">
      <w:start w:val="4"/>
      <w:numFmt w:val="chineseCounting"/>
      <w:suff w:val="nothing"/>
      <w:lvlText w:val="（%1）"/>
      <w:lvlJc w:val="left"/>
      <w:rPr>
        <w:rFonts w:hint="eastAsia"/>
      </w:rPr>
    </w:lvl>
  </w:abstractNum>
  <w:abstractNum w:abstractNumId="1">
    <w:nsid w:val="D9361938"/>
    <w:multiLevelType w:val="singleLevel"/>
    <w:tmpl w:val="D9361938"/>
    <w:lvl w:ilvl="0" w:tentative="0">
      <w:start w:val="1"/>
      <w:numFmt w:val="decimal"/>
      <w:suff w:val="nothing"/>
      <w:lvlText w:val="%1、"/>
      <w:lvlJc w:val="left"/>
    </w:lvl>
  </w:abstractNum>
  <w:abstractNum w:abstractNumId="2">
    <w:nsid w:val="2349D302"/>
    <w:multiLevelType w:val="singleLevel"/>
    <w:tmpl w:val="2349D302"/>
    <w:lvl w:ilvl="0" w:tentative="0">
      <w:start w:val="2"/>
      <w:numFmt w:val="chineseCounting"/>
      <w:suff w:val="nothing"/>
      <w:lvlText w:val="（%1）"/>
      <w:lvlJc w:val="left"/>
      <w:rPr>
        <w:rFonts w:hint="eastAsia"/>
      </w:rPr>
    </w:lvl>
  </w:abstractNum>
  <w:abstractNum w:abstractNumId="3">
    <w:nsid w:val="3B70C8CA"/>
    <w:multiLevelType w:val="singleLevel"/>
    <w:tmpl w:val="3B70C8CA"/>
    <w:lvl w:ilvl="0" w:tentative="0">
      <w:start w:val="2"/>
      <w:numFmt w:val="chineseCounting"/>
      <w:suff w:val="nothing"/>
      <w:lvlText w:val="（%1）"/>
      <w:lvlJc w:val="left"/>
      <w:rPr>
        <w:rFonts w:hint="eastAsia"/>
      </w:rPr>
    </w:lvl>
  </w:abstractNum>
  <w:abstractNum w:abstractNumId="4">
    <w:nsid w:val="43F2CC2B"/>
    <w:multiLevelType w:val="singleLevel"/>
    <w:tmpl w:val="43F2CC2B"/>
    <w:lvl w:ilvl="0" w:tentative="0">
      <w:start w:val="5"/>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OGU0NjExN2RjYWQ2YjlhYTk5ODU0ZGYwZTUxZWYifQ=="/>
  </w:docVars>
  <w:rsids>
    <w:rsidRoot w:val="00045A99"/>
    <w:rsid w:val="00045A99"/>
    <w:rsid w:val="001813E4"/>
    <w:rsid w:val="002E3049"/>
    <w:rsid w:val="00303789"/>
    <w:rsid w:val="00311077"/>
    <w:rsid w:val="0064468C"/>
    <w:rsid w:val="00852023"/>
    <w:rsid w:val="00A94705"/>
    <w:rsid w:val="00B722BC"/>
    <w:rsid w:val="00C64E4A"/>
    <w:rsid w:val="00DF0C5A"/>
    <w:rsid w:val="00F45BD4"/>
    <w:rsid w:val="01F9035B"/>
    <w:rsid w:val="0341645D"/>
    <w:rsid w:val="052F51F1"/>
    <w:rsid w:val="05AF76AE"/>
    <w:rsid w:val="075B71C0"/>
    <w:rsid w:val="0B745622"/>
    <w:rsid w:val="0C4600F9"/>
    <w:rsid w:val="0CE06855"/>
    <w:rsid w:val="0E671455"/>
    <w:rsid w:val="0F682919"/>
    <w:rsid w:val="11F70A48"/>
    <w:rsid w:val="165A0573"/>
    <w:rsid w:val="16C57989"/>
    <w:rsid w:val="1B4F7512"/>
    <w:rsid w:val="1B753411"/>
    <w:rsid w:val="1D0D3DDA"/>
    <w:rsid w:val="1F041108"/>
    <w:rsid w:val="1FBA5176"/>
    <w:rsid w:val="25A9679D"/>
    <w:rsid w:val="27F7253B"/>
    <w:rsid w:val="283D6944"/>
    <w:rsid w:val="28ED376D"/>
    <w:rsid w:val="290E4168"/>
    <w:rsid w:val="2BD1111B"/>
    <w:rsid w:val="2C131E96"/>
    <w:rsid w:val="2CD86C3B"/>
    <w:rsid w:val="2E6469D8"/>
    <w:rsid w:val="2F822586"/>
    <w:rsid w:val="35D97CAC"/>
    <w:rsid w:val="363B44C3"/>
    <w:rsid w:val="39D72754"/>
    <w:rsid w:val="3A5D6F4E"/>
    <w:rsid w:val="3B0A0908"/>
    <w:rsid w:val="3B732D11"/>
    <w:rsid w:val="41016309"/>
    <w:rsid w:val="422E4C90"/>
    <w:rsid w:val="43432C09"/>
    <w:rsid w:val="43BC4B73"/>
    <w:rsid w:val="44760E87"/>
    <w:rsid w:val="45A0666F"/>
    <w:rsid w:val="485D3BE7"/>
    <w:rsid w:val="4A5676C5"/>
    <w:rsid w:val="4B483FD1"/>
    <w:rsid w:val="4B58162E"/>
    <w:rsid w:val="4B7818BD"/>
    <w:rsid w:val="4B80558E"/>
    <w:rsid w:val="51D45A69"/>
    <w:rsid w:val="594D6724"/>
    <w:rsid w:val="5EB6477F"/>
    <w:rsid w:val="5FF612D7"/>
    <w:rsid w:val="60B076CC"/>
    <w:rsid w:val="61914DD9"/>
    <w:rsid w:val="632E2B36"/>
    <w:rsid w:val="63A0353D"/>
    <w:rsid w:val="64406FC4"/>
    <w:rsid w:val="659A15D8"/>
    <w:rsid w:val="67921247"/>
    <w:rsid w:val="68012F0F"/>
    <w:rsid w:val="6ADA71D6"/>
    <w:rsid w:val="6B834C79"/>
    <w:rsid w:val="6C4C74B9"/>
    <w:rsid w:val="6CD1634A"/>
    <w:rsid w:val="6E772599"/>
    <w:rsid w:val="71CE68DA"/>
    <w:rsid w:val="747131CA"/>
    <w:rsid w:val="74E428C9"/>
    <w:rsid w:val="74F11C15"/>
    <w:rsid w:val="77067D67"/>
    <w:rsid w:val="77B2692B"/>
    <w:rsid w:val="79200D1B"/>
    <w:rsid w:val="79286435"/>
    <w:rsid w:val="7C637F70"/>
    <w:rsid w:val="7E3D1939"/>
    <w:rsid w:val="7F037115"/>
    <w:rsid w:val="7F52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正正正"/>
    <w:basedOn w:val="1"/>
    <w:qFormat/>
    <w:uiPriority w:val="0"/>
    <w:pPr>
      <w:spacing w:line="360" w:lineRule="auto"/>
      <w:ind w:firstLine="200" w:firstLineChars="200"/>
    </w:pPr>
    <w:rPr>
      <w:rFonts w:ascii="宋体" w:hAnsi="宋体" w:cs="宋体"/>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25</Pages>
  <Words>12819</Words>
  <Characters>15120</Characters>
  <Lines>115</Lines>
  <Paragraphs>32</Paragraphs>
  <TotalTime>30</TotalTime>
  <ScaleCrop>false</ScaleCrop>
  <LinksUpToDate>false</LinksUpToDate>
  <CharactersWithSpaces>15370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2022-11-23T06:53:00Z</dcterms:created>
  <dc:creator>Administrator</dc:creator>
  <cp:lastModifiedBy>杨俊鹏</cp:lastModifiedBy>
  <cp:lastPrinted>2023-11-10T03:49:00Z</cp:lastPrinted>
  <dcterms:modified xsi:type="dcterms:W3CDTF">2025-01-09T08:45:11Z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937066FAB0864EDAA29EDF4AE630CD25_13</vt:lpwstr>
  </property>
</Properties>
</file>