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黑体_GBK" w:eastAsia="方正黑体_GBK"/>
          <w:sz w:val="32"/>
          <w:szCs w:val="32"/>
        </w:rPr>
      </w:pPr>
      <w:r>
        <w:rPr>
          <w:rFonts w:hint="eastAsia" w:ascii="方正黑体_GBK" w:eastAsia="方正黑体_GBK"/>
          <w:sz w:val="32"/>
          <w:szCs w:val="32"/>
        </w:rPr>
        <w:t>曲靖市沾益区关于公开举借债务情况说明</w:t>
      </w:r>
    </w:p>
    <w:p>
      <w:pPr>
        <w:ind w:firstLine="320" w:firstLineChars="100"/>
        <w:rPr>
          <w:rFonts w:hint="eastAsia" w:ascii="Times New Roman" w:hAnsi="Times New Roman" w:eastAsia="方正仿宋_GBK" w:cs="Times New Roman"/>
          <w:sz w:val="32"/>
          <w:szCs w:val="32"/>
        </w:rPr>
      </w:pPr>
    </w:p>
    <w:p>
      <w:pPr>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2017年7月14日至15日召开的全国金融工作会议、7月24日召开的中共中央政治局会议、7月28日召开的国务院常务会议等三次不同领域的最高规格会议均专门点名提及地方政府债务，并对控制地方债务、防范风险问题作出了明确的部署。习近平总书记在全国金融工作会议上强调金融安全，提出要设立国务院金融稳定发展委员会。防止发生系统性金融风险是金融工作的永恒主题。各级地方党委和政府要树立正确政绩观，严控地方政府债务增量，终身问责，倒查责任。</w:t>
      </w:r>
      <w:bookmarkStart w:id="0" w:name="_GoBack"/>
      <w:bookmarkEnd w:id="0"/>
    </w:p>
    <w:p>
      <w:pPr>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中共中央办公厅印发了《关于人大预算审查监督重点向支出预算和政策拓展的指导意见》，并发出通知，要求各地区各部门结合实际认真贯彻落实。《指导意见》提出“积极稳妥化解累积的地方政府债务风险，坚决遏制隐性债务增量，决不允许新增各类隐性债务”。</w:t>
      </w:r>
    </w:p>
    <w:p>
      <w:pPr>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曲靖市沾益区财政局严格贯彻落实中央、省、市有关方针政策及政府性债务管理的重要决策部署，20</w:t>
      </w:r>
      <w:r>
        <w:rPr>
          <w:rFonts w:hint="eastAsia" w:ascii="Times New Roman" w:hAnsi="Times New Roman" w:eastAsia="方正仿宋_GBK" w:cs="Times New Roman"/>
          <w:sz w:val="32"/>
          <w:szCs w:val="32"/>
          <w:lang w:val="en-US" w:eastAsia="zh-CN"/>
        </w:rPr>
        <w:t>22</w:t>
      </w:r>
      <w:r>
        <w:rPr>
          <w:rFonts w:ascii="Times New Roman" w:hAnsi="Times New Roman" w:eastAsia="方正仿宋_GBK" w:cs="Times New Roman"/>
          <w:sz w:val="32"/>
          <w:szCs w:val="32"/>
        </w:rPr>
        <w:t>年公开举借债务</w:t>
      </w:r>
      <w:r>
        <w:rPr>
          <w:rFonts w:hint="eastAsia" w:ascii="Times New Roman" w:hAnsi="Times New Roman" w:eastAsia="方正仿宋_GBK" w:cs="Times New Roman"/>
          <w:sz w:val="32"/>
          <w:szCs w:val="32"/>
          <w:lang w:eastAsia="zh-CN"/>
        </w:rPr>
        <w:t>为</w:t>
      </w:r>
      <w:r>
        <w:rPr>
          <w:rFonts w:hint="eastAsia" w:ascii="Times New Roman" w:hAnsi="Times New Roman" w:eastAsia="方正仿宋_GBK" w:cs="Times New Roman"/>
          <w:sz w:val="32"/>
          <w:szCs w:val="32"/>
          <w:lang w:val="en-US" w:eastAsia="zh-CN"/>
        </w:rPr>
        <w:t>0万元，</w:t>
      </w:r>
      <w:r>
        <w:rPr>
          <w:rFonts w:ascii="Times New Roman" w:hAnsi="Times New Roman" w:eastAsia="方正仿宋_GBK" w:cs="Times New Roman"/>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lYTBhYjg0ZjQzMTVkNTkwYzRlYWU0OTkwMzEwYzgifQ=="/>
  </w:docVars>
  <w:rsids>
    <w:rsidRoot w:val="00D24DF1"/>
    <w:rsid w:val="00A424CD"/>
    <w:rsid w:val="00D24DF1"/>
    <w:rsid w:val="1FC5505E"/>
    <w:rsid w:val="3D754C41"/>
    <w:rsid w:val="47C0698C"/>
    <w:rsid w:val="68B651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61</Words>
  <Characters>352</Characters>
  <Lines>2</Lines>
  <Paragraphs>1</Paragraphs>
  <TotalTime>9</TotalTime>
  <ScaleCrop>false</ScaleCrop>
  <LinksUpToDate>false</LinksUpToDate>
  <CharactersWithSpaces>412</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2020-07-27T01:22:00Z</dcterms:created>
  <dc:creator>czj</dc:creator>
  <cp:lastModifiedBy>张文能</cp:lastModifiedBy>
  <dcterms:modified xsi:type="dcterms:W3CDTF">2024-11-04T02:20:24Z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5CA8BDDB9B8E42FA9A1226677D4B62BB_12</vt:lpwstr>
  </property>
</Properties>
</file>