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曲靖市沾益区关于公开举借债务情况说明</w:t>
      </w:r>
    </w:p>
    <w:p>
      <w:pPr>
        <w:ind w:firstLine="320" w:firstLineChars="100"/>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2017年7月14日至15日召开的全国金融工作会议、7月24日召开的中共中央政治局会议、7月28日召开的国务院常务会议等三次不同领域的最高规格会议均专门点名提及地方政府债务，并对控制地方债务、防范风险问题作出了明确的部署。习近平总书记在全国金融工作</w:t>
      </w:r>
      <w:bookmarkStart w:id="0" w:name="_GoBack"/>
      <w:bookmarkEnd w:id="0"/>
      <w:r>
        <w:rPr>
          <w:rFonts w:ascii="Times New Roman" w:hAnsi="Times New Roman" w:eastAsia="方正仿宋_GBK" w:cs="Times New Roman"/>
          <w:sz w:val="32"/>
          <w:szCs w:val="32"/>
        </w:rPr>
        <w:t>会议上强调金融安全，提出要设立国务院金融稳定发展委员会。防止发生系统性金融风险是金融工作的永恒主题。各级地方党委和政府要树立正确政绩观，严控地方政府债务增量，终身问责，倒查责任。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中共中央办公厅印发了《关于人大预算审查监督重点向支出预算和政策拓展的指导意见》，并发出通知，要求各地区各部门结合实际认真贯彻落实。《指导意见》提出“积极稳妥化解累积的地方政府债务风险，坚决遏制隐性债务增量，决不允许新增各类隐性债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ascii="Times New Roman" w:hAnsi="Times New Roman" w:eastAsia="方正仿宋_GBK" w:cs="Times New Roman"/>
          <w:sz w:val="32"/>
          <w:szCs w:val="32"/>
        </w:rPr>
        <w:t>曲靖市沾益区财政局严格贯彻落实中央、省、市有关方针政策及政府性债务管理的重要决策部署</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严格债务管理。截至2022年末，</w:t>
      </w:r>
      <w:r>
        <w:rPr>
          <w:rStyle w:val="6"/>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全区地方政府债务限额为52.28亿元，其中：一般债务限额29.6亿元、专项债务限额2</w:t>
      </w:r>
      <w:r>
        <w:rPr>
          <w:rStyle w:val="6"/>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4.18</w:t>
      </w:r>
      <w:r>
        <w:rPr>
          <w:rStyle w:val="6"/>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6"/>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6"/>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地方政府债务余额46.95亿元</w:t>
      </w:r>
      <w:r>
        <w:rPr>
          <w:rStyle w:val="6"/>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6"/>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其中：一般债务</w:t>
      </w:r>
      <w:r>
        <w:rPr>
          <w:rStyle w:val="6"/>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6"/>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w:t>
      </w:r>
      <w:r>
        <w:rPr>
          <w:rStyle w:val="6"/>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24.41</w:t>
      </w:r>
      <w:r>
        <w:rPr>
          <w:rStyle w:val="6"/>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亿元、专项债务</w:t>
      </w:r>
      <w:r>
        <w:rPr>
          <w:rStyle w:val="6"/>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6"/>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额2</w:t>
      </w:r>
      <w:r>
        <w:rPr>
          <w:rStyle w:val="6"/>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2.54</w:t>
      </w:r>
      <w:r>
        <w:rPr>
          <w:rStyle w:val="6"/>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6"/>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YTBhYjg0ZjQzMTVkNTkwYzRlYWU0OTkwMzEwYzgifQ=="/>
  </w:docVars>
  <w:rsids>
    <w:rsidRoot w:val="00D24DF1"/>
    <w:rsid w:val="00A424CD"/>
    <w:rsid w:val="00D24DF1"/>
    <w:rsid w:val="0FE45886"/>
    <w:rsid w:val="14DA6DA8"/>
    <w:rsid w:val="1B572516"/>
    <w:rsid w:val="1FC5505E"/>
    <w:rsid w:val="21625A0B"/>
    <w:rsid w:val="3D754C41"/>
    <w:rsid w:val="47C0698C"/>
    <w:rsid w:val="582A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352</Characters>
  <Lines>2</Lines>
  <Paragraphs>1</Paragraphs>
  <TotalTime>4</TotalTime>
  <ScaleCrop>false</ScaleCrop>
  <LinksUpToDate>false</LinksUpToDate>
  <CharactersWithSpaces>412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2020-07-27T01:22:00Z</dcterms:created>
  <dc:creator>czj</dc:creator>
  <cp:lastModifiedBy>张文能</cp:lastModifiedBy>
  <dcterms:modified xsi:type="dcterms:W3CDTF">2024-11-04T02:27:45Z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AE59A9CBE21542929E8B5434AFB64B47</vt:lpwstr>
  </property>
</Properties>
</file>