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沾益区花山街道集疏运公路工程</w:t>
      </w:r>
    </w:p>
    <w:p>
      <w:pPr>
        <w:ind w:firstLine="0" w:firstLineChars="0"/>
        <w:jc w:val="center"/>
        <w:rPr>
          <w:rFonts w:hint="eastAsia" w:ascii="黑体" w:hAnsi="黑体" w:eastAsia="黑体" w:cs="黑体"/>
          <w:color w:val="auto"/>
          <w:sz w:val="44"/>
          <w:szCs w:val="44"/>
        </w:rPr>
      </w:pPr>
      <w:r>
        <w:rPr>
          <w:rFonts w:hint="eastAsia" w:ascii="黑体" w:hAnsi="黑体" w:eastAsia="黑体" w:cs="黑体"/>
          <w:color w:val="auto"/>
          <w:sz w:val="44"/>
          <w:szCs w:val="44"/>
        </w:rPr>
        <w:t>征地补偿安置方案</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曲靖市沾益区人民政府依据</w:t>
      </w:r>
      <w:r>
        <w:rPr>
          <w:rFonts w:hint="eastAsia" w:ascii="宋体" w:hAnsi="宋体" w:eastAsia="宋体" w:cs="宋体"/>
          <w:color w:val="auto"/>
          <w:sz w:val="32"/>
          <w:szCs w:val="32"/>
          <w:lang w:eastAsia="zh-CN"/>
        </w:rPr>
        <w:t>沾益区花山街道集疏运公路工程</w:t>
      </w:r>
      <w:r>
        <w:rPr>
          <w:rFonts w:hint="eastAsia" w:ascii="宋体" w:hAnsi="宋体" w:eastAsia="宋体" w:cs="宋体"/>
          <w:color w:val="auto"/>
          <w:sz w:val="32"/>
          <w:szCs w:val="32"/>
        </w:rPr>
        <w:t>拟征收土地社会稳定风险评估结果，结合土地现状调查情况，组织自然资源局、财政局、农业农村局、</w:t>
      </w:r>
      <w:r>
        <w:rPr>
          <w:rFonts w:hint="eastAsia" w:ascii="宋体" w:hAnsi="宋体" w:eastAsia="宋体" w:cs="宋体"/>
          <w:color w:val="auto"/>
          <w:sz w:val="32"/>
          <w:szCs w:val="32"/>
          <w:lang w:val="en-US" w:eastAsia="zh-CN"/>
        </w:rPr>
        <w:t>人力资源和社会保障局</w:t>
      </w:r>
      <w:r>
        <w:rPr>
          <w:rFonts w:hint="eastAsia" w:ascii="宋体" w:hAnsi="宋体" w:eastAsia="宋体" w:cs="宋体"/>
          <w:color w:val="auto"/>
          <w:sz w:val="32"/>
          <w:szCs w:val="32"/>
        </w:rPr>
        <w:t>等相关部门制定了本方案，具体内容如下：</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一、征收范围</w:t>
      </w:r>
    </w:p>
    <w:p>
      <w:pPr>
        <w:widowControl w:val="0"/>
        <w:spacing w:line="600" w:lineRule="exact"/>
        <w:ind w:firstLine="640"/>
        <w:rPr>
          <w:rFonts w:hint="eastAsia" w:ascii="仿宋" w:hAnsi="仿宋" w:eastAsia="仿宋" w:cs="仿宋"/>
          <w:color w:val="auto"/>
          <w:sz w:val="32"/>
          <w:szCs w:val="32"/>
          <w:lang w:val="en-US" w:eastAsia="zh-CN"/>
        </w:rPr>
      </w:pPr>
      <w:r>
        <w:rPr>
          <w:rFonts w:hint="eastAsia" w:ascii="宋体" w:hAnsi="宋体" w:eastAsia="宋体" w:cs="宋体"/>
          <w:color w:val="auto"/>
          <w:sz w:val="32"/>
          <w:szCs w:val="32"/>
        </w:rPr>
        <w:t>该项目</w:t>
      </w:r>
      <w:r>
        <w:rPr>
          <w:rFonts w:hint="eastAsia" w:ascii="宋体" w:hAnsi="宋体" w:eastAsia="宋体" w:cs="宋体"/>
          <w:color w:val="auto"/>
          <w:sz w:val="32"/>
          <w:szCs w:val="32"/>
          <w:lang w:val="en-US" w:eastAsia="zh-CN"/>
        </w:rPr>
        <w:t>位于沾益区</w:t>
      </w:r>
      <w:r>
        <w:rPr>
          <w:rFonts w:hint="eastAsia" w:ascii="仿宋" w:hAnsi="仿宋" w:eastAsia="仿宋" w:cs="仿宋"/>
          <w:color w:val="auto"/>
          <w:sz w:val="32"/>
          <w:szCs w:val="32"/>
          <w:lang w:val="en-US" w:eastAsia="zh-CN"/>
        </w:rPr>
        <w:t>沾益区花山街道遵花铺社区居委会第六居民小组，十里铺社区居委会，十里铺社区居委会第一、第二、第三居民小组，松林社区居委会，施家屯社区居委会第一、第二居民小组</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拟征收集体所有土地总面积</w:t>
      </w:r>
      <w:r>
        <w:rPr>
          <w:rFonts w:hint="eastAsia" w:ascii="宋体" w:hAnsi="宋体" w:eastAsia="宋体" w:cs="宋体"/>
          <w:color w:val="auto"/>
          <w:sz w:val="32"/>
          <w:szCs w:val="32"/>
          <w:lang w:val="en-US" w:eastAsia="zh-CN"/>
        </w:rPr>
        <w:t>19.6578</w:t>
      </w:r>
      <w:r>
        <w:rPr>
          <w:rFonts w:hint="eastAsia" w:ascii="宋体" w:hAnsi="宋体" w:eastAsia="宋体" w:cs="宋体"/>
          <w:color w:val="auto"/>
          <w:sz w:val="32"/>
          <w:szCs w:val="32"/>
        </w:rPr>
        <w:t>公顷。</w:t>
      </w:r>
      <w:r>
        <w:rPr>
          <w:rFonts w:hint="eastAsia" w:ascii="仿宋" w:hAnsi="仿宋" w:eastAsia="仿宋" w:cs="仿宋"/>
          <w:color w:val="auto"/>
          <w:sz w:val="32"/>
          <w:szCs w:val="32"/>
        </w:rPr>
        <w:t>具体位置</w:t>
      </w:r>
      <w:r>
        <w:rPr>
          <w:rFonts w:hint="eastAsia" w:ascii="仿宋" w:hAnsi="仿宋" w:eastAsia="仿宋" w:cs="仿宋"/>
          <w:color w:val="auto"/>
          <w:sz w:val="32"/>
          <w:szCs w:val="32"/>
          <w:lang w:eastAsia="zh-CN"/>
        </w:rPr>
        <w:t>、四至范围</w:t>
      </w:r>
      <w:r>
        <w:rPr>
          <w:rFonts w:hint="eastAsia" w:ascii="仿宋" w:hAnsi="仿宋" w:eastAsia="仿宋" w:cs="仿宋"/>
          <w:color w:val="auto"/>
          <w:sz w:val="32"/>
          <w:szCs w:val="32"/>
        </w:rPr>
        <w:t>详见勘测定界图。</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二、土地现状</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该项目拟征收集体所有</w:t>
      </w:r>
      <w:r>
        <w:rPr>
          <w:rFonts w:hint="eastAsia" w:ascii="仿宋" w:hAnsi="仿宋" w:eastAsia="仿宋" w:cs="仿宋"/>
          <w:color w:val="auto"/>
          <w:sz w:val="32"/>
          <w:szCs w:val="32"/>
          <w:lang w:val="en-US" w:eastAsia="zh-CN"/>
        </w:rPr>
        <w:t>土地总面积19.6578</w:t>
      </w:r>
      <w:r>
        <w:rPr>
          <w:rFonts w:hint="eastAsia" w:ascii="仿宋" w:hAnsi="仿宋" w:eastAsia="仿宋" w:cs="仿宋"/>
          <w:color w:val="auto"/>
          <w:sz w:val="32"/>
          <w:szCs w:val="32"/>
        </w:rPr>
        <w:t>公顷，农用地</w:t>
      </w:r>
      <w:r>
        <w:rPr>
          <w:rFonts w:hint="eastAsia" w:ascii="仿宋" w:hAnsi="仿宋" w:eastAsia="仿宋" w:cs="仿宋"/>
          <w:color w:val="auto"/>
          <w:sz w:val="32"/>
          <w:szCs w:val="32"/>
          <w:lang w:val="en-US" w:eastAsia="zh-CN"/>
        </w:rPr>
        <w:t>2.0662</w:t>
      </w:r>
      <w:r>
        <w:rPr>
          <w:rFonts w:hint="eastAsia" w:ascii="仿宋" w:hAnsi="仿宋" w:eastAsia="仿宋" w:cs="仿宋"/>
          <w:color w:val="auto"/>
          <w:sz w:val="32"/>
          <w:szCs w:val="32"/>
        </w:rPr>
        <w:t>公顷（耕地</w:t>
      </w:r>
      <w:r>
        <w:rPr>
          <w:rFonts w:hint="eastAsia" w:ascii="仿宋" w:hAnsi="仿宋" w:eastAsia="仿宋" w:cs="仿宋"/>
          <w:color w:val="auto"/>
          <w:sz w:val="32"/>
          <w:szCs w:val="32"/>
          <w:lang w:val="en-US" w:eastAsia="zh-CN"/>
        </w:rPr>
        <w:t>8.0098</w:t>
      </w:r>
      <w:r>
        <w:rPr>
          <w:rFonts w:hint="eastAsia" w:ascii="仿宋" w:hAnsi="仿宋" w:eastAsia="仿宋" w:cs="仿宋"/>
          <w:color w:val="auto"/>
          <w:sz w:val="32"/>
          <w:szCs w:val="32"/>
        </w:rPr>
        <w:t>公顷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其中水田0.8047公顷、旱地7.2051公顷</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种植园用地1.2060公顷，林地8.5054公顷，草地0.1019公顷，其他农用地1.6040公顷</w:t>
      </w:r>
      <w:r>
        <w:rPr>
          <w:rFonts w:hint="eastAsia" w:ascii="仿宋" w:hAnsi="仿宋" w:eastAsia="仿宋" w:cs="仿宋"/>
          <w:color w:val="auto"/>
          <w:sz w:val="32"/>
          <w:szCs w:val="32"/>
        </w:rPr>
        <w:t>），建设用地</w:t>
      </w:r>
      <w:r>
        <w:rPr>
          <w:rFonts w:hint="eastAsia" w:ascii="仿宋" w:hAnsi="仿宋" w:eastAsia="仿宋" w:cs="仿宋"/>
          <w:color w:val="auto"/>
          <w:sz w:val="32"/>
          <w:szCs w:val="32"/>
          <w:lang w:val="en-US" w:eastAsia="zh-CN"/>
        </w:rPr>
        <w:t>0.2207公顷</w:t>
      </w:r>
      <w:r>
        <w:rPr>
          <w:rFonts w:hint="eastAsia" w:ascii="仿宋" w:hAnsi="仿宋" w:eastAsia="仿宋" w:cs="仿宋"/>
          <w:color w:val="auto"/>
          <w:sz w:val="32"/>
          <w:szCs w:val="32"/>
        </w:rPr>
        <w:t>，未利用地</w:t>
      </w:r>
      <w:r>
        <w:rPr>
          <w:rFonts w:hint="eastAsia" w:ascii="仿宋" w:hAnsi="仿宋" w:eastAsia="仿宋" w:cs="仿宋"/>
          <w:color w:val="auto"/>
          <w:sz w:val="32"/>
          <w:szCs w:val="32"/>
          <w:lang w:val="en-US" w:eastAsia="zh-CN"/>
        </w:rPr>
        <w:t>0.0100公顷</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经现场核实调查涉及花山街道十里铺社区居委会集体所有土地面积11.3606公顷，农用地11.3115公顷（耕地4.6474公顷，其中水田0.6128公顷、旱地4.0346公顷，种植园用地0.0052公顷，林地5.7540公顷，草地0.1019公顷，其他农用地0.8030公顷），建设用地0.0491公顷，不涉及未利用地；涉及十里铺社区居委会第一、第二居民小组共有集体所有土地面积3.1422公顷，农用地3.1405公顷（耕地2.1746公顷，其中水田0.1880公顷、旱地1.9866公顷，林地0.4780公顷，其他农用地0.4879公顷），不涉及建设用地，未利用地0.0017公顷；涉及十里铺社区居委会第二、第三居民小组共有集体所有土地面积0.0702公顷，农用地0.0593公顷（耕地0.0289公顷，其中水田0.0039公顷、旱地0.0289公顷，林地0.0246公顷，其他农用地0.0058公顷），不建设用地0.0026公顷，未利用地0.0083公顷；涉及遵花铺社区居委会第六居民小组集体所有土地面积1.1892公顷，农用地1.1892公顷（耕地0.2029公顷，其中旱地0.2029公顷，林地0.9308公顷，其他农用地0.0555公顷），不涉及建设用地，不涉及未利用地；涉及松林社区居委会集体所有土地面积2.8069公顷，农用地2.8051公顷（耕地0.5705公顷，其中旱地0.5705公顷，种植园用地0.7447公顷，林地1.3180公顷，其他农用地0.1719公顷），建设用地0.0018公顷，不涉及未利用地；涉及施家屯社区居委会第二居民小组集体所有土地面积0.0880公顷，农用地0.0880公顷（耕地0.0255公顷，其中旱地0.0255公顷，种植园用地0.0545公顷，其他农用地0.0080公顷），不涉及建设用地，不涉及未利用地。</w:t>
      </w:r>
      <w:r>
        <w:rPr>
          <w:rFonts w:hint="eastAsia" w:ascii="宋体" w:hAnsi="宋体" w:eastAsia="宋体" w:cs="宋体"/>
          <w:color w:val="auto"/>
          <w:sz w:val="32"/>
          <w:szCs w:val="32"/>
        </w:rPr>
        <w:t>经现场实物调查清点，涉及</w:t>
      </w:r>
      <w:r>
        <w:rPr>
          <w:rFonts w:hint="eastAsia" w:ascii="宋体" w:hAnsi="宋体" w:eastAsia="宋体" w:cs="宋体"/>
          <w:color w:val="auto"/>
          <w:sz w:val="32"/>
          <w:szCs w:val="32"/>
          <w:lang w:eastAsia="zh-CN"/>
        </w:rPr>
        <w:t>花山街道十里铺社区居委会</w:t>
      </w:r>
      <w:r>
        <w:rPr>
          <w:rFonts w:hint="eastAsia" w:ascii="宋体" w:hAnsi="宋体" w:eastAsia="宋体" w:cs="宋体"/>
          <w:color w:val="auto"/>
          <w:sz w:val="32"/>
          <w:szCs w:val="32"/>
          <w:lang w:val="en-US" w:eastAsia="zh-CN"/>
        </w:rPr>
        <w:t>第一居民小组玉米24.29</w:t>
      </w:r>
      <w:r>
        <w:rPr>
          <w:rFonts w:hint="eastAsia" w:ascii="宋体" w:hAnsi="宋体" w:eastAsia="宋体" w:cs="宋体"/>
          <w:color w:val="auto"/>
          <w:sz w:val="32"/>
          <w:szCs w:val="32"/>
        </w:rPr>
        <w:t>亩，</w:t>
      </w:r>
      <w:r>
        <w:rPr>
          <w:rFonts w:hint="eastAsia" w:ascii="宋体" w:hAnsi="宋体" w:eastAsia="宋体" w:cs="宋体"/>
          <w:color w:val="auto"/>
          <w:sz w:val="32"/>
          <w:szCs w:val="32"/>
          <w:lang w:val="en-US" w:eastAsia="zh-CN"/>
        </w:rPr>
        <w:t>桑树（中产叶）9600棵；涉及十里铺社区第二居民小组砖混房84.8平方米，简易房45平方米，混凝土</w:t>
      </w:r>
      <w:bookmarkStart w:id="0" w:name="_GoBack"/>
      <w:bookmarkEnd w:id="0"/>
      <w:r>
        <w:rPr>
          <w:rFonts w:hint="eastAsia" w:ascii="宋体" w:hAnsi="宋体" w:eastAsia="宋体" w:cs="宋体"/>
          <w:color w:val="auto"/>
          <w:sz w:val="32"/>
          <w:szCs w:val="32"/>
          <w:lang w:val="en-US" w:eastAsia="zh-CN"/>
        </w:rPr>
        <w:t>地坪180平方米，实心砖围墙11.10立方米，桑树（中产叶）2640棵，玉米21.90亩；涉及十里铺社区居委会第三居民小组桑树（中产叶）13035棵，玉米26.70亩；涉及十里铺社区居委会集体杂木树（香樟、玉兰）胸径5-10厘米700棵，杂木树（香樟、玉兰）胸径10-15厘米772棵，杂木树（香樟、玉兰）胸径15-20厘米3430棵，松树（云南松）胸径10-15厘米214棵，松树（云南松）胸径20-30厘米8800棵，松树（云南松）胸径30-35厘米2000棵，松树（云南松）胸径35-40厘米600棵，沟渠1600立方米，公墓3.35亩；涉及松林社区居委会集体玉米4.73亩，梨树（盛挂果）554棵，混凝土地坪2187平方米，实心砖围墙11.31立方米，杂木树（香樟、玉兰）胸径5-10厘米275棵，杂木树（香樟、玉兰）胸径10-15厘米1288棵，杂木树（香樟、玉兰）胸径15-20厘米7093棵；涉及施家屯社区居委会第一居民小组玉米2.77亩，沟渠112.35立方米，混凝土地坪948.08平方米，装混房屋117.86平方米，钢构大棚4907.52平方米，简易房30平方米；涉及施家屯社区居委会第二居民小组玉米1.10亩</w:t>
      </w:r>
      <w:r>
        <w:rPr>
          <w:rFonts w:hint="eastAsia" w:ascii="宋体" w:hAnsi="宋体" w:eastAsia="宋体" w:cs="宋体"/>
          <w:color w:val="auto"/>
          <w:sz w:val="32"/>
          <w:szCs w:val="32"/>
        </w:rPr>
        <w:t>。</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三、征收目的</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本次拟征收土地用于</w:t>
      </w:r>
      <w:r>
        <w:rPr>
          <w:rFonts w:hint="eastAsia" w:ascii="宋体" w:hAnsi="宋体" w:eastAsia="宋体" w:cs="宋体"/>
          <w:color w:val="auto"/>
          <w:sz w:val="32"/>
          <w:szCs w:val="32"/>
          <w:lang w:eastAsia="zh-CN"/>
        </w:rPr>
        <w:t>沾益区花山街道集疏运公路工程</w:t>
      </w:r>
      <w:r>
        <w:rPr>
          <w:rFonts w:hint="eastAsia" w:ascii="宋体" w:hAnsi="宋体" w:eastAsia="宋体" w:cs="宋体"/>
          <w:color w:val="auto"/>
          <w:sz w:val="32"/>
          <w:szCs w:val="32"/>
        </w:rPr>
        <w:t>，符合《中华人民共和国土地管理法》第四十五条</w:t>
      </w:r>
      <w:r>
        <w:rPr>
          <w:rFonts w:hint="eastAsia" w:ascii="宋体" w:hAnsi="宋体" w:eastAsia="宋体" w:cs="宋体"/>
          <w:color w:val="auto"/>
          <w:sz w:val="32"/>
          <w:szCs w:val="32"/>
          <w:lang w:val="en-US" w:eastAsia="zh-CN"/>
        </w:rPr>
        <w:t>第二款交通类基础设施建设需要用地的</w:t>
      </w:r>
      <w:r>
        <w:rPr>
          <w:rFonts w:hint="eastAsia" w:ascii="宋体" w:hAnsi="宋体" w:eastAsia="宋体" w:cs="宋体"/>
          <w:color w:val="auto"/>
          <w:sz w:val="32"/>
          <w:szCs w:val="32"/>
        </w:rPr>
        <w:t>规定，可以征收土地</w:t>
      </w:r>
      <w:r>
        <w:rPr>
          <w:rFonts w:hint="eastAsia" w:ascii="宋体" w:hAnsi="宋体" w:eastAsia="宋体" w:cs="宋体"/>
          <w:color w:val="auto"/>
          <w:sz w:val="32"/>
          <w:szCs w:val="32"/>
          <w:lang w:val="en-US" w:eastAsia="zh-CN"/>
        </w:rPr>
        <w:t>的</w:t>
      </w:r>
      <w:r>
        <w:rPr>
          <w:rFonts w:hint="eastAsia" w:ascii="宋体" w:hAnsi="宋体" w:eastAsia="宋体" w:cs="宋体"/>
          <w:color w:val="auto"/>
          <w:sz w:val="32"/>
          <w:szCs w:val="32"/>
        </w:rPr>
        <w:t>情形。</w:t>
      </w:r>
    </w:p>
    <w:p>
      <w:pPr>
        <w:widowControl w:val="0"/>
        <w:spacing w:line="580" w:lineRule="exact"/>
        <w:ind w:left="620" w:leftChars="200" w:firstLine="0" w:firstLineChars="0"/>
        <w:jc w:val="left"/>
        <w:rPr>
          <w:rFonts w:ascii="宋体" w:hAnsi="宋体" w:eastAsia="宋体" w:cs="宋体"/>
          <w:color w:val="auto"/>
          <w:sz w:val="32"/>
          <w:szCs w:val="32"/>
        </w:rPr>
      </w:pPr>
      <w:r>
        <w:rPr>
          <w:rFonts w:hint="eastAsia" w:ascii="宋体" w:hAnsi="宋体" w:eastAsia="宋体" w:cs="宋体"/>
          <w:color w:val="auto"/>
          <w:sz w:val="32"/>
          <w:szCs w:val="32"/>
        </w:rPr>
        <w:t>四、补偿</w:t>
      </w:r>
      <w:r>
        <w:rPr>
          <w:rFonts w:hint="eastAsia" w:ascii="宋体" w:hAnsi="宋体" w:eastAsia="宋体" w:cs="宋体"/>
          <w:color w:val="auto"/>
          <w:sz w:val="32"/>
          <w:szCs w:val="32"/>
          <w:lang w:val="en-US" w:eastAsia="zh-CN"/>
        </w:rPr>
        <w:t>方式和</w:t>
      </w:r>
      <w:r>
        <w:rPr>
          <w:rFonts w:hint="eastAsia" w:ascii="宋体" w:hAnsi="宋体" w:eastAsia="宋体" w:cs="宋体"/>
          <w:color w:val="auto"/>
          <w:sz w:val="32"/>
          <w:szCs w:val="32"/>
        </w:rPr>
        <w:t>标准</w:t>
      </w:r>
    </w:p>
    <w:p>
      <w:pPr>
        <w:widowControl w:val="0"/>
        <w:spacing w:line="64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本项目土地补偿费、安置补助费按云南省自然资源厅《关于公布实施全省征收农用地区片综合地价的通知》（云自然资〔2020〕173号）文件公布实施的区片综合地价执行。本项目用地涉及1个征收农用地区片综合地价，</w:t>
      </w:r>
      <w:r>
        <w:rPr>
          <w:rFonts w:hint="eastAsia" w:ascii="仿宋" w:hAnsi="仿宋" w:eastAsia="仿宋" w:cs="仿宋"/>
          <w:color w:val="auto"/>
          <w:sz w:val="32"/>
          <w:szCs w:val="32"/>
        </w:rPr>
        <w:t>属Ⅲ类区</w:t>
      </w:r>
      <w:r>
        <w:rPr>
          <w:rFonts w:hint="eastAsia" w:ascii="宋体" w:hAnsi="宋体" w:eastAsia="宋体" w:cs="宋体"/>
          <w:color w:val="auto"/>
          <w:sz w:val="32"/>
          <w:szCs w:val="32"/>
        </w:rPr>
        <w:t>，补偿标准为</w:t>
      </w:r>
      <w:r>
        <w:rPr>
          <w:rFonts w:hint="eastAsia" w:ascii="宋体" w:hAnsi="宋体" w:eastAsia="宋体" w:cs="宋体"/>
          <w:color w:val="auto"/>
          <w:sz w:val="32"/>
          <w:szCs w:val="32"/>
          <w:lang w:val="en-US" w:eastAsia="zh-CN"/>
        </w:rPr>
        <w:t>49900</w:t>
      </w:r>
      <w:r>
        <w:rPr>
          <w:rFonts w:hint="eastAsia" w:ascii="宋体" w:hAnsi="宋体" w:eastAsia="宋体" w:cs="宋体"/>
          <w:color w:val="auto"/>
          <w:sz w:val="32"/>
          <w:szCs w:val="32"/>
        </w:rPr>
        <w:t>元/亩，水田地类调整系数为1.2，补偿标准为</w:t>
      </w:r>
      <w:r>
        <w:rPr>
          <w:rFonts w:hint="eastAsia" w:ascii="宋体" w:hAnsi="宋体" w:eastAsia="宋体" w:cs="宋体"/>
          <w:color w:val="auto"/>
          <w:sz w:val="32"/>
          <w:szCs w:val="32"/>
          <w:lang w:val="en-US" w:eastAsia="zh-CN"/>
        </w:rPr>
        <w:t>59880</w:t>
      </w:r>
      <w:r>
        <w:rPr>
          <w:rFonts w:hint="eastAsia" w:ascii="宋体" w:hAnsi="宋体" w:eastAsia="宋体" w:cs="宋体"/>
          <w:color w:val="auto"/>
          <w:sz w:val="32"/>
          <w:szCs w:val="32"/>
        </w:rPr>
        <w:t>元/亩，旱地（水浇地）、建设用地地类调整系数为1，补偿标准为</w:t>
      </w:r>
      <w:r>
        <w:rPr>
          <w:rFonts w:hint="eastAsia" w:ascii="宋体" w:hAnsi="宋体" w:eastAsia="宋体" w:cs="宋体"/>
          <w:color w:val="auto"/>
          <w:sz w:val="32"/>
          <w:szCs w:val="32"/>
          <w:lang w:val="en-US" w:eastAsia="zh-CN"/>
        </w:rPr>
        <w:t>49900</w:t>
      </w:r>
      <w:r>
        <w:rPr>
          <w:rFonts w:hint="eastAsia" w:ascii="宋体" w:hAnsi="宋体" w:eastAsia="宋体" w:cs="宋体"/>
          <w:color w:val="auto"/>
          <w:sz w:val="32"/>
          <w:szCs w:val="32"/>
        </w:rPr>
        <w:t>元/亩；其他农用地参照周边</w:t>
      </w:r>
      <w:r>
        <w:rPr>
          <w:rFonts w:hint="eastAsia" w:ascii="宋体" w:hAnsi="宋体" w:eastAsia="宋体" w:cs="宋体"/>
          <w:color w:val="auto"/>
          <w:sz w:val="32"/>
          <w:szCs w:val="32"/>
          <w:lang w:val="en-US" w:eastAsia="zh-CN"/>
        </w:rPr>
        <w:t>旱地</w:t>
      </w:r>
      <w:r>
        <w:rPr>
          <w:rFonts w:hint="eastAsia" w:ascii="宋体" w:hAnsi="宋体" w:eastAsia="宋体" w:cs="宋体"/>
          <w:color w:val="auto"/>
          <w:sz w:val="32"/>
          <w:szCs w:val="32"/>
        </w:rPr>
        <w:t>地类补偿标准执行，地类调整系数均为</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，补偿标准</w:t>
      </w:r>
      <w:r>
        <w:rPr>
          <w:rFonts w:hint="eastAsia" w:ascii="宋体" w:hAnsi="宋体" w:eastAsia="宋体" w:cs="宋体"/>
          <w:color w:val="auto"/>
          <w:sz w:val="32"/>
          <w:szCs w:val="32"/>
          <w:lang w:val="en-US" w:eastAsia="zh-CN"/>
        </w:rPr>
        <w:t>49900</w:t>
      </w:r>
      <w:r>
        <w:rPr>
          <w:rFonts w:hint="eastAsia" w:ascii="宋体" w:hAnsi="宋体" w:eastAsia="宋体" w:cs="宋体"/>
          <w:color w:val="auto"/>
          <w:sz w:val="32"/>
          <w:szCs w:val="32"/>
        </w:rPr>
        <w:t>元/亩。</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lang w:val="en-US" w:eastAsia="zh-CN"/>
        </w:rPr>
        <w:t>本项目</w:t>
      </w:r>
      <w:r>
        <w:rPr>
          <w:rFonts w:hint="eastAsia" w:ascii="宋体" w:hAnsi="宋体" w:eastAsia="宋体" w:cs="宋体"/>
          <w:color w:val="auto"/>
          <w:sz w:val="32"/>
          <w:szCs w:val="32"/>
        </w:rPr>
        <w:t>农村村民住宅、地上附着物及青苗补偿费</w:t>
      </w:r>
      <w:r>
        <w:rPr>
          <w:rFonts w:hint="eastAsia" w:ascii="宋体" w:hAnsi="宋体" w:eastAsia="宋体" w:cs="宋体"/>
          <w:color w:val="auto"/>
          <w:sz w:val="32"/>
          <w:szCs w:val="32"/>
          <w:lang w:val="en-US" w:eastAsia="zh-CN"/>
        </w:rPr>
        <w:t>按</w:t>
      </w:r>
      <w:r>
        <w:rPr>
          <w:rFonts w:hint="eastAsia" w:ascii="宋体" w:hAnsi="宋体" w:eastAsia="宋体" w:cs="宋体"/>
          <w:color w:val="auto"/>
          <w:sz w:val="32"/>
          <w:szCs w:val="32"/>
        </w:rPr>
        <w:t>《曲靖市人民政府关于公布实施全市地上附着物和青苗补偿标准的通知》规定，制定以下标准：</w:t>
      </w:r>
    </w:p>
    <w:p>
      <w:pPr>
        <w:pStyle w:val="43"/>
        <w:widowControl w:val="0"/>
        <w:spacing w:line="580" w:lineRule="exact"/>
        <w:ind w:left="620" w:leftChars="200" w:firstLine="0" w:firstLineChars="0"/>
        <w:rPr>
          <w:rFonts w:ascii="宋体" w:hAnsi="宋体" w:eastAsia="宋体" w:cs="宋体"/>
          <w:color w:val="auto"/>
          <w:sz w:val="32"/>
          <w:szCs w:val="32"/>
        </w:rPr>
      </w:pPr>
      <w:r>
        <w:rPr>
          <w:rFonts w:hint="eastAsia" w:ascii="宋体" w:hAnsi="宋体" w:eastAsia="宋体" w:cs="宋体"/>
          <w:color w:val="auto"/>
          <w:sz w:val="32"/>
          <w:szCs w:val="32"/>
        </w:rPr>
        <w:t>（一）地上附着物补偿标准</w:t>
      </w:r>
    </w:p>
    <w:p>
      <w:pPr>
        <w:widowControl w:val="0"/>
        <w:spacing w:line="580" w:lineRule="exact"/>
        <w:ind w:firstLine="64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1</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针叶类树木</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云南松胸径5-10厘米50元/株，胸径10-15厘米100元/株，胸径15-20厘米150元/株，种植密度不高于220株/亩</w:t>
      </w:r>
    </w:p>
    <w:p>
      <w:pPr>
        <w:widowControl w:val="0"/>
        <w:spacing w:line="580" w:lineRule="exact"/>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2、阔叶类树木：香樟、玉兰等胸径5-10厘米60元/株，胸径10-20厘米150元/株，胸径20-30厘米200元/株，种植密度不高于220株/亩。</w:t>
      </w:r>
    </w:p>
    <w:p>
      <w:pPr>
        <w:widowControl w:val="0"/>
        <w:spacing w:line="580" w:lineRule="exact"/>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3、果树类：梨树盛挂果150元/株，种植密度不高于110株/亩。</w:t>
      </w:r>
    </w:p>
    <w:p>
      <w:pPr>
        <w:widowControl w:val="0"/>
        <w:spacing w:line="580" w:lineRule="exact"/>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4、其他经济林木：桑蚕树中产叶7.5元/株，种植密度不高于1000株/亩。</w:t>
      </w:r>
    </w:p>
    <w:p>
      <w:pPr>
        <w:pStyle w:val="43"/>
        <w:widowControl w:val="0"/>
        <w:spacing w:line="580" w:lineRule="exact"/>
        <w:ind w:left="620" w:leftChars="200" w:firstLine="0" w:firstLineChars="0"/>
        <w:rPr>
          <w:rFonts w:ascii="宋体" w:hAnsi="宋体" w:eastAsia="宋体" w:cs="宋体"/>
          <w:color w:val="auto"/>
          <w:sz w:val="32"/>
          <w:szCs w:val="32"/>
        </w:rPr>
      </w:pPr>
      <w:r>
        <w:rPr>
          <w:rFonts w:hint="eastAsia" w:ascii="宋体" w:hAnsi="宋体" w:eastAsia="宋体" w:cs="宋体"/>
          <w:color w:val="auto"/>
          <w:sz w:val="32"/>
          <w:szCs w:val="32"/>
        </w:rPr>
        <w:t>（二）青苗补偿标准</w:t>
      </w:r>
    </w:p>
    <w:tbl>
      <w:tblPr>
        <w:tblStyle w:val="11"/>
        <w:tblW w:w="8878" w:type="dxa"/>
        <w:jc w:val="center"/>
        <w:tblInd w:w="0" w:type="dxa"/>
        <w:tblLayout w:type="fixed"/>
        <w:tblCellMar>
          <w:top w:w="0" w:type="dxa"/>
          <w:left w:w="108" w:type="dxa"/>
          <w:bottom w:w="0" w:type="dxa"/>
          <w:right w:w="108" w:type="dxa"/>
        </w:tblCellMar>
      </w:tblPr>
      <w:tblGrid>
        <w:gridCol w:w="1614"/>
        <w:gridCol w:w="2846"/>
        <w:gridCol w:w="1561"/>
        <w:gridCol w:w="2857"/>
      </w:tblGrid>
      <w:tr>
        <w:tblPrEx>
          <w:tblLayout w:type="fixed"/>
          <w:tblCellMar>
            <w:top w:w="0" w:type="dxa"/>
            <w:left w:w="108" w:type="dxa"/>
            <w:bottom w:w="0" w:type="dxa"/>
            <w:right w:w="108" w:type="dxa"/>
          </w:tblCellMar>
        </w:tblPrEx>
        <w:trPr>
          <w:trHeight w:val="884"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补偿地类、种苗</w:t>
            </w:r>
          </w:p>
        </w:tc>
        <w:tc>
          <w:tcPr>
            <w:tcW w:w="2846"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补偿标准(元/亩)</w:t>
            </w:r>
          </w:p>
        </w:tc>
        <w:tc>
          <w:tcPr>
            <w:tcW w:w="1561" w:type="dxa"/>
            <w:tcBorders>
              <w:top w:val="single" w:color="auto" w:sz="4" w:space="0"/>
              <w:left w:val="nil"/>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区域范围</w:t>
            </w:r>
          </w:p>
        </w:tc>
        <w:tc>
          <w:tcPr>
            <w:tcW w:w="2857"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说明</w:t>
            </w:r>
          </w:p>
        </w:tc>
      </w:tr>
      <w:tr>
        <w:tblPrEx>
          <w:tblLayout w:type="fixed"/>
          <w:tblCellMar>
            <w:top w:w="0" w:type="dxa"/>
            <w:left w:w="108" w:type="dxa"/>
            <w:bottom w:w="0" w:type="dxa"/>
            <w:right w:w="108" w:type="dxa"/>
          </w:tblCellMar>
        </w:tblPrEx>
        <w:trPr>
          <w:trHeight w:val="457"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水稻</w:t>
            </w:r>
          </w:p>
        </w:tc>
        <w:tc>
          <w:tcPr>
            <w:tcW w:w="2846"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2000</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p>
            <w:pPr>
              <w:widowControl w:val="0"/>
              <w:spacing w:line="400" w:lineRule="exact"/>
              <w:ind w:firstLine="0" w:firstLineChars="0"/>
              <w:jc w:val="center"/>
              <w:rPr>
                <w:rFonts w:hint="eastAsia" w:ascii="宋体" w:hAnsi="宋体" w:eastAsia="宋体" w:cs="宋体"/>
                <w:color w:val="auto"/>
                <w:sz w:val="32"/>
                <w:szCs w:val="32"/>
              </w:rPr>
            </w:pPr>
          </w:p>
        </w:tc>
      </w:tr>
      <w:tr>
        <w:tblPrEx>
          <w:tblLayout w:type="fixed"/>
          <w:tblCellMar>
            <w:top w:w="0" w:type="dxa"/>
            <w:left w:w="108" w:type="dxa"/>
            <w:bottom w:w="0" w:type="dxa"/>
            <w:right w:w="108" w:type="dxa"/>
          </w:tblCellMar>
        </w:tblPrEx>
        <w:trPr>
          <w:trHeight w:val="452"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玉米</w:t>
            </w:r>
          </w:p>
        </w:tc>
        <w:tc>
          <w:tcPr>
            <w:tcW w:w="2846"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1</w:t>
            </w:r>
            <w:r>
              <w:rPr>
                <w:rFonts w:ascii="宋体" w:hAnsi="宋体" w:eastAsia="宋体" w:cs="宋体"/>
                <w:color w:val="auto"/>
                <w:sz w:val="32"/>
                <w:szCs w:val="32"/>
              </w:rPr>
              <w:t>500</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tc>
      </w:tr>
    </w:tbl>
    <w:p>
      <w:pPr>
        <w:pStyle w:val="43"/>
        <w:widowControl w:val="0"/>
        <w:numPr>
          <w:ilvl w:val="0"/>
          <w:numId w:val="2"/>
        </w:numPr>
        <w:spacing w:line="580" w:lineRule="exact"/>
        <w:ind w:firstLine="640"/>
        <w:rPr>
          <w:rFonts w:hint="eastAsia" w:ascii="宋体" w:hAnsi="宋体" w:eastAsia="宋体" w:cs="宋体"/>
          <w:color w:val="auto"/>
          <w:sz w:val="32"/>
          <w:szCs w:val="32"/>
        </w:rPr>
      </w:pPr>
      <w:r>
        <w:rPr>
          <w:rFonts w:hint="eastAsia" w:ascii="宋体" w:hAnsi="宋体" w:eastAsia="宋体" w:cs="宋体"/>
          <w:color w:val="auto"/>
          <w:sz w:val="32"/>
          <w:szCs w:val="32"/>
        </w:rPr>
        <w:t>地上构（建）筑物补偿标准</w:t>
      </w:r>
    </w:p>
    <w:tbl>
      <w:tblPr>
        <w:tblStyle w:val="11"/>
        <w:tblW w:w="88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431"/>
        <w:gridCol w:w="1831"/>
        <w:gridCol w:w="1607"/>
        <w:gridCol w:w="1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名称</w:t>
            </w: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类别</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单位</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单价（元）</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jc w:val="center"/>
        </w:trPr>
        <w:tc>
          <w:tcPr>
            <w:tcW w:w="1080" w:type="dxa"/>
            <w:vMerge w:val="restart"/>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砖混结构</w:t>
            </w: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带柱</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平方米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1010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vMerge w:val="continue"/>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不带柱</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lang w:val="en-US" w:eastAsia="zh-CN"/>
              </w:rPr>
              <w:t>平方米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890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vMerge w:val="restart"/>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简易结构</w:t>
            </w: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砖墙</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平方米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300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vMerge w:val="continue"/>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土墙</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val="en-US" w:eastAsia="zh-CN"/>
              </w:rPr>
              <w:t>平方米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260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围墙</w:t>
            </w: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实心砖围墙</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立方米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280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大棚</w:t>
            </w: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钢架结构</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平方米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80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沟渠</w:t>
            </w: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素混凝土结构</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立方米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300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地坪</w:t>
            </w: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rPr>
            </w:pPr>
            <w:r>
              <w:rPr>
                <w:rFonts w:hint="eastAsia" w:ascii="宋体" w:hAnsi="宋体" w:eastAsia="宋体" w:cs="宋体"/>
                <w:color w:val="auto"/>
                <w:sz w:val="32"/>
                <w:szCs w:val="32"/>
                <w:lang w:val="en-US" w:eastAsia="zh-CN"/>
              </w:rPr>
              <w:t>混凝土地坪</w:t>
            </w: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平方米</w:t>
            </w: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60</w:t>
            </w: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080"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c>
          <w:tcPr>
            <w:tcW w:w="24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831"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607"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939" w:type="dxa"/>
            <w:tcBorders>
              <w:tl2br w:val="nil"/>
              <w:tr2bl w:val="nil"/>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bl>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注：其他地上附着物按有关规定及标准执行</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1.违法构（建）筑物不予补偿，手续具备的构（建）筑物补偿按上述标准进行补偿；2.自该片区土地收储范围内实物统一核查之后，新增的各类建设项目及抢栽抢种的各类树木，其他农作物等一律不予补偿。</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、安置途径</w:t>
      </w:r>
    </w:p>
    <w:p>
      <w:pPr>
        <w:widowControl w:val="0"/>
        <w:spacing w:line="58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rPr>
        <w:t>本项目征收土地需安置农业人口</w:t>
      </w:r>
      <w:r>
        <w:rPr>
          <w:rFonts w:hint="eastAsia" w:ascii="宋体" w:hAnsi="宋体" w:eastAsia="宋体" w:cs="宋体"/>
          <w:color w:val="auto"/>
          <w:sz w:val="32"/>
          <w:szCs w:val="32"/>
          <w:highlight w:val="none"/>
          <w:lang w:val="en-US" w:eastAsia="zh-CN"/>
        </w:rPr>
        <w:t>104</w:t>
      </w:r>
      <w:r>
        <w:rPr>
          <w:rFonts w:hint="eastAsia" w:ascii="宋体" w:hAnsi="宋体" w:eastAsia="宋体" w:cs="宋体"/>
          <w:color w:val="auto"/>
          <w:sz w:val="32"/>
          <w:szCs w:val="32"/>
          <w:highlight w:val="none"/>
        </w:rPr>
        <w:t>人（其中劳动力</w:t>
      </w:r>
      <w:r>
        <w:rPr>
          <w:rFonts w:hint="eastAsia" w:ascii="宋体" w:hAnsi="宋体" w:eastAsia="宋体" w:cs="宋体"/>
          <w:color w:val="auto"/>
          <w:sz w:val="32"/>
          <w:szCs w:val="32"/>
          <w:highlight w:val="none"/>
          <w:lang w:val="en-US" w:eastAsia="zh-CN"/>
        </w:rPr>
        <w:t>72</w:t>
      </w:r>
      <w:r>
        <w:rPr>
          <w:rFonts w:hint="eastAsia" w:ascii="宋体" w:hAnsi="宋体" w:eastAsia="宋体" w:cs="宋体"/>
          <w:color w:val="auto"/>
          <w:sz w:val="32"/>
          <w:szCs w:val="32"/>
          <w:highlight w:val="none"/>
        </w:rPr>
        <w:t>人），征地前人均耕地</w:t>
      </w:r>
      <w:r>
        <w:rPr>
          <w:rFonts w:hint="eastAsia" w:ascii="宋体" w:hAnsi="宋体" w:eastAsia="宋体" w:cs="宋体"/>
          <w:color w:val="auto"/>
          <w:sz w:val="32"/>
          <w:szCs w:val="32"/>
          <w:highlight w:val="none"/>
          <w:lang w:val="en-US" w:eastAsia="zh-CN"/>
        </w:rPr>
        <w:t>1.16</w:t>
      </w:r>
      <w:r>
        <w:rPr>
          <w:rFonts w:hint="eastAsia" w:ascii="宋体" w:hAnsi="宋体" w:eastAsia="宋体" w:cs="宋体"/>
          <w:color w:val="auto"/>
          <w:sz w:val="32"/>
          <w:szCs w:val="32"/>
          <w:highlight w:val="none"/>
        </w:rPr>
        <w:t>亩，征地后人均耕地</w:t>
      </w:r>
      <w:r>
        <w:rPr>
          <w:rFonts w:hint="eastAsia" w:ascii="宋体" w:hAnsi="宋体" w:eastAsia="宋体" w:cs="宋体"/>
          <w:color w:val="auto"/>
          <w:sz w:val="32"/>
          <w:szCs w:val="32"/>
          <w:highlight w:val="none"/>
          <w:lang w:val="en-US" w:eastAsia="zh-CN"/>
        </w:rPr>
        <w:t>1.14</w:t>
      </w:r>
      <w:r>
        <w:rPr>
          <w:rFonts w:hint="eastAsia" w:ascii="宋体" w:hAnsi="宋体" w:eastAsia="宋体" w:cs="宋体"/>
          <w:color w:val="auto"/>
          <w:sz w:val="32"/>
          <w:szCs w:val="32"/>
          <w:highlight w:val="none"/>
        </w:rPr>
        <w:t>亩。</w:t>
      </w:r>
    </w:p>
    <w:p>
      <w:pPr>
        <w:widowControl w:val="0"/>
        <w:numPr>
          <w:ilvl w:val="0"/>
          <w:numId w:val="3"/>
        </w:numPr>
        <w:spacing w:line="580" w:lineRule="exact"/>
        <w:ind w:firstLine="64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安置途经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rPr>
        <w:t>当地村民小组</w:t>
      </w:r>
      <w:r>
        <w:rPr>
          <w:rFonts w:hint="eastAsia" w:ascii="仿宋" w:hAnsi="仿宋" w:eastAsia="仿宋" w:cs="仿宋"/>
          <w:kern w:val="2"/>
          <w:sz w:val="32"/>
          <w:szCs w:val="32"/>
        </w:rPr>
        <w:t>计划通过发放安置补助费</w:t>
      </w:r>
      <w:r>
        <w:rPr>
          <w:rFonts w:hint="eastAsia" w:ascii="仿宋" w:hAnsi="仿宋" w:eastAsia="仿宋" w:cs="仿宋"/>
          <w:color w:val="auto"/>
          <w:sz w:val="32"/>
          <w:szCs w:val="32"/>
          <w:lang w:val="en-US" w:eastAsia="zh-CN"/>
        </w:rPr>
        <w:t>104</w:t>
      </w:r>
      <w:r>
        <w:rPr>
          <w:rFonts w:hint="eastAsia" w:ascii="仿宋" w:hAnsi="仿宋" w:eastAsia="仿宋" w:cs="仿宋"/>
          <w:kern w:val="2"/>
          <w:sz w:val="32"/>
          <w:szCs w:val="32"/>
        </w:rPr>
        <w:t>人、社会保障安置</w:t>
      </w:r>
      <w:r>
        <w:rPr>
          <w:rFonts w:hint="eastAsia" w:ascii="仿宋" w:hAnsi="仿宋" w:eastAsia="仿宋" w:cs="仿宋"/>
          <w:kern w:val="2"/>
          <w:sz w:val="32"/>
          <w:szCs w:val="32"/>
          <w:lang w:val="en-US" w:eastAsia="zh-CN"/>
        </w:rPr>
        <w:t>72</w:t>
      </w:r>
      <w:r>
        <w:rPr>
          <w:rFonts w:hint="eastAsia" w:ascii="仿宋" w:hAnsi="仿宋" w:eastAsia="仿宋" w:cs="仿宋"/>
          <w:kern w:val="2"/>
          <w:sz w:val="32"/>
          <w:szCs w:val="32"/>
        </w:rPr>
        <w:t>人</w:t>
      </w:r>
      <w:r>
        <w:rPr>
          <w:rFonts w:hint="eastAsia" w:ascii="仿宋" w:hAnsi="仿宋" w:eastAsia="仿宋" w:cs="仿宋"/>
          <w:color w:val="auto"/>
          <w:sz w:val="32"/>
          <w:szCs w:val="32"/>
        </w:rPr>
        <w:t>，可以妥善安排被征地农民的生产和生活。</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lang w:val="en-US" w:eastAsia="zh-CN"/>
        </w:rPr>
        <w:t>七</w:t>
      </w:r>
      <w:r>
        <w:rPr>
          <w:rFonts w:hint="eastAsia" w:ascii="宋体" w:hAnsi="宋体" w:eastAsia="宋体" w:cs="宋体"/>
          <w:color w:val="auto"/>
          <w:sz w:val="32"/>
          <w:szCs w:val="32"/>
        </w:rPr>
        <w:t>、社会保障</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根据《云南省人民政府办公厅关于印发云南省改革完善被征地农民养老保障政策试点工作方案的通知》（云政办〔2016〕20号）要求，涉及征收土地的，按2万元/亩的标准缴纳被征地农民社会保障金，确保被征地农民生活水平不下降，长远生计有保障。</w:t>
      </w:r>
    </w:p>
    <w:p>
      <w:pPr>
        <w:widowControl w:val="0"/>
        <w:spacing w:line="580" w:lineRule="exact"/>
        <w:ind w:firstLine="640"/>
        <w:jc w:val="right"/>
        <w:rPr>
          <w:rFonts w:ascii="宋体" w:hAnsi="宋体" w:eastAsia="宋体" w:cs="宋体"/>
          <w:color w:val="auto"/>
          <w:sz w:val="32"/>
          <w:szCs w:val="32"/>
        </w:rPr>
      </w:pPr>
    </w:p>
    <w:p>
      <w:pPr>
        <w:widowControl w:val="0"/>
        <w:spacing w:line="580" w:lineRule="exact"/>
        <w:ind w:firstLine="640"/>
        <w:jc w:val="right"/>
        <w:rPr>
          <w:rFonts w:eastAsia="方正仿宋_GBK"/>
          <w:color w:val="auto"/>
          <w:sz w:val="32"/>
          <w:szCs w:val="32"/>
        </w:rPr>
      </w:pPr>
      <w:r>
        <w:rPr>
          <w:rFonts w:hint="eastAsia" w:ascii="宋体" w:hAnsi="宋体" w:eastAsia="宋体" w:cs="宋体"/>
          <w:color w:val="auto"/>
          <w:sz w:val="32"/>
          <w:szCs w:val="32"/>
        </w:rPr>
        <w:t>曲靖市沾益区人民政府</w:t>
      </w:r>
    </w:p>
    <w:p>
      <w:pPr>
        <w:widowControl w:val="0"/>
        <w:spacing w:line="580" w:lineRule="exact"/>
        <w:ind w:firstLine="640"/>
        <w:jc w:val="center"/>
        <w:rPr>
          <w:rFonts w:eastAsia="方正仿宋_GBK"/>
          <w:color w:val="FF0000"/>
          <w:sz w:val="32"/>
          <w:szCs w:val="32"/>
        </w:rPr>
      </w:pPr>
      <w:r>
        <w:rPr>
          <w:rFonts w:hint="eastAsia" w:eastAsia="方正仿宋_GBK"/>
          <w:color w:val="FF0000"/>
          <w:sz w:val="32"/>
          <w:szCs w:val="32"/>
        </w:rPr>
        <w:t xml:space="preserve">                             </w:t>
      </w:r>
      <w:r>
        <w:rPr>
          <w:rFonts w:hint="eastAsia" w:ascii="宋体" w:hAnsi="宋体" w:eastAsia="宋体" w:cs="宋体"/>
          <w:color w:val="FF0000"/>
          <w:sz w:val="32"/>
          <w:szCs w:val="32"/>
        </w:rPr>
        <w:t xml:space="preserve">  </w:t>
      </w:r>
      <w:r>
        <w:rPr>
          <w:rFonts w:hint="eastAsia" w:ascii="宋体" w:hAnsi="宋体" w:eastAsia="宋体" w:cs="宋体"/>
          <w:color w:val="auto"/>
          <w:sz w:val="32"/>
          <w:szCs w:val="32"/>
        </w:rPr>
        <w:t xml:space="preserve"> 2023年 </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5" w:h="16837"/>
      <w:pgMar w:top="1871" w:right="1474" w:bottom="1304" w:left="1588" w:header="567" w:footer="1474" w:gutter="0"/>
      <w:pgBorders>
        <w:top w:val="none" w:sz="0" w:space="0"/>
        <w:left w:val="none" w:sz="0" w:space="0"/>
        <w:bottom w:val="none" w:sz="0" w:space="0"/>
        <w:right w:val="none" w:sz="0" w:space="0"/>
      </w:pgBorders>
      <w:pgNumType w:start="1"/>
      <w:cols w:space="368" w:num="1"/>
      <w:docGrid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sz w:val="28"/>
      </w:rPr>
      <w:t xml:space="preserve">—  </w:t>
    </w:r>
    <w:r>
      <w:fldChar w:fldCharType="begin"/>
    </w:r>
    <w:r>
      <w:rPr>
        <w:sz w:val="28"/>
      </w:rPr>
      <w:instrText xml:space="preserve"> PAGE </w:instrText>
    </w:r>
    <w:r>
      <w:fldChar w:fldCharType="separate"/>
    </w:r>
    <w:r>
      <w:rPr>
        <w:sz w:val="28"/>
      </w:rPr>
      <w:t>3</w:t>
    </w:r>
    <w: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0" w:firstLineChars="0"/>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r>
      <mc:AlternateContent>
        <mc:Choice Requires="wps">
          <w:drawing>
            <wp:anchor distT="0" distB="0" distL="114300" distR="114300" simplePos="0" relativeHeight="251660288" behindDoc="1" locked="0" layoutInCell="0" allowOverlap="1">
              <wp:simplePos x="0" y="0"/>
              <wp:positionH relativeFrom="page">
                <wp:posOffset>1110615</wp:posOffset>
              </wp:positionH>
              <wp:positionV relativeFrom="page">
                <wp:posOffset>9591675</wp:posOffset>
              </wp:positionV>
              <wp:extent cx="5615940" cy="17970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7" o:spid="_x0000_s1026" o:spt="202" type="#_x0000_t202" style="position:absolute;left:0pt;margin-left:87.45pt;margin-top:755.25pt;height:14.15pt;width:442.2pt;mso-position-horizontal-relative:page;mso-position-vertical-relative:page;z-index:-251656192;mso-width-relative:page;mso-height-relative:page;" filled="f" stroked="f" coordsize="21600,21600" o:allowincell="f" o:gfxdata="UEsDBAoAAAAAAIdO4kAAAAAAAAAAAAAAAAAEAAAAZHJzL1BLAwQUAAAACACHTuJAWWSCAtkAAAAO&#10;AQAADwAAAGRycy9kb3ducmV2LnhtbE2PS0/DMBCE70j8B2uRuFE7LSlJiFOpCDhwa0vubuw6AT8i&#10;2339+25OcNvZHc18W68u1pCTCnHwjkM2Y0CU67wcnObwvft4KoDEJJwUxjvF4aoirJr7u1pU0p/d&#10;Rp22SRMMcbESHPqUxorS2PXKijjzo3J4O/hgRUIZNJVBnDHcGjpnbEmtGBw29GJUb73qfrdHi73B&#10;6JZ+Htr1Urab9df8p3zXO84fHzL2CiSpS/ozw4SP6NAg094fnYzEoH55LtGKQ56xHMhkYXm5ALKf&#10;douiANrU9P8bzQ1QSwMEFAAAAAgAh07iQAucMt/TAQAAhwMAAA4AAABkcnMvZTJvRG9jLnhtbK1T&#10;zY7TMBC+I/EOlu80Sdlu2ajpamG1CAkBUnfF2XWcxJL/NHab9AXgDThx4c5z9TkYu03pLje0iuSM&#10;Z8af5/tmvLgetCJbAV5aU9FiklMiDLe1NG1FH+7vXr2hxAdmaqasERXdCU+vly9fLHpXiqntrKoF&#10;EAQxvuxdRbsQXJllnndCMz+xThgMNhY0C7iFNquB9YiuVTbN88ust1A7sFx4j97bQ5AuE37TCB4+&#10;N40XgaiKYm0hrZDWdVyz5YKVLTDXSX4sg/1HFZpJg5eeoG5ZYGQD8h8oLTlYb5sw4VZntmkkF4kD&#10;sinyJ2xWHXMicUFxvDvJ5J8Pln/afgEi64q+psQwjS3a//i+//l7/+sbKfLpPCrUO19i4sphahje&#10;2gE7Pfo9OiPxoQEd/0iJYBy13p30FUMgHJ2zy2J2dYEhjrFifjXPZxEm+3vagQ/vhdUkGhUF7F+S&#10;lW0/+nBIHVPiZcbeSaVSD5V55EDMg0ekIcDTqbhNELDq6p4w1eK88gCUgA1fZeiS2LHkmOihXb9T&#10;QLYM5+Ymx+/iWKkdIVLdZ+hZVOmgRrTWtt6hXOqDwW7FyRsNGI31aGwcyLZDuknUhIPdTvjHyYzj&#10;dL5H+/z9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WSCAtkAAAAOAQAADwAAAAAAAAABACAA&#10;AAAiAAAAZHJzL2Rvd25yZXYueG1sUEsBAhQAFAAAAAgAh07iQAucMt/TAQAAhwMAAA4AAAAAAAAA&#10;AQAgAAAAKAEAAGRycy9lMm9Eb2MueG1sUEsFBgAAAAAGAAYAWQEAAG0FA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fldChar w:fldCharType="begin"/>
    </w:r>
    <w:r>
      <w:instrText xml:space="preserve"> PAGE   \* MERGEFORMAT </w:instrText>
    </w:r>
    <w:r>
      <w:fldChar w:fldCharType="separate"/>
    </w:r>
    <w:r>
      <w:rPr>
        <w:lang w:val="zh-CN"/>
      </w:rPr>
      <w:t>1</w:t>
    </w:r>
    <w:r>
      <w:rPr>
        <w:lang w:val="zh-CN"/>
      </w:rP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60288"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5" o:spid="_x0000_s1026" o:spt="202" type="#_x0000_t202" style="position:absolute;left:0pt;margin-left:79.35pt;margin-top:28.3pt;height:14.15pt;width:442.2pt;mso-position-horizontal-relative:page;mso-position-vertical-relative:page;z-index:-251656192;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Qx6/6dMBAACHAwAADgAAAGRycy9lMm9Eb2MueG1srVPN&#10;jtMwEL4j8Q6W7zRJtd1lo6YrYLUICQFSQXt2HTux5D+N3SZ9AXgDTly473P1ORi7m26BG0KRnPHM&#10;+PN834yXN6PRZCcgKGcbWs1KSoTlrlW2a+iXz3cvXlISIrMt086Khu5FoDer58+Wg6/F3PVOtwII&#10;gthQD76hfYy+LorAe2FYmDkvLAalA8MibqErWmADohtdzMvyshgctB4cFyGg9/YYpKuML6Xg8aOU&#10;QUSiG4q1xbxCXjdpLVZLVnfAfK/4YxnsH6owTFm89AR1yyIjW1B/QRnFwQUn44w7UzgpFReZA7Kp&#10;yj/YrHvmReaC4gR/kin8P1j+YfcJiGobOqfEMoMtOnz/dvjxcPj5lVTlfJEUGnyoMXHtMTWOr92I&#10;nZ78AZ2J+CjBpD9SIhhHrfcnfcUYCUfn4rJaXF9giGOsurq+KjN88XTaQ4hvhTMkGQ0F7F+Wle3e&#10;h4iVYOqUki6z7k5pnXuo7W8OTDx6RB4CPJ2L20YB674dCNMdziuPQAm4eK9in8VOJafEAN3mjQay&#10;Yzg3r0r8LhJhRHUTRN6doRdJpaMaydq4do9y6XcWu5UmbzJgMjaTsfWguh7pZlEzDnY74z9OZhqn&#10;8z3a5+9n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Qx6/6d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6" o:spid="_x0000_s1026" o:spt="202" type="#_x0000_t202" style="position:absolute;left:0pt;margin-left:79.35pt;margin-top:28.3pt;height:14.15pt;width:442.2pt;mso-position-horizontal-relative:page;mso-position-vertical-relative:page;z-index:-251657216;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u/2I19MBAACHAwAADgAAAGRycy9lMm9Eb2MueG1srVNL&#10;btswEN0XyB0I7mtJRuw0guWgTZCiQNEGcIusaYqSCPCHIW3JF2hv0FU33edcPkeGtOW47a4oBFDD&#10;meHjvDfDxc2gFdkK8NKaihaTnBJhuK2laSv69cv96zeU+MBMzZQ1oqI74enN8uLVonelmNrOqloA&#10;QRDjy95VtAvBlVnmeSc08xPrhMFgY0GzgFtosxpYj+haZdM8n2e9hdqB5cJ79N4dgnSZ8JtG8PC5&#10;abwIRFUUawtphbSu45otF6xsgblO8mMZ7B+q0EwavPQEdccCIxuQf0FpycF624QJtzqzTSO5SByQ&#10;TZH/wWbVMScSFxTHu5NM/v/B8k/bByCyxt5RYpjGFu1/fN//fNr/+kaKfDqPCvXOl5i4cpgahnd2&#10;iNlHv0dnJD40oOMfKRGMo9a7k75iCISjczYvZteXGOIYK66ur/JZhMleTjvw4b2wmkSjooD9S7Ky&#10;7UcfDqljSrzM2HupFPpZqcxvDsQ8eEQaAjyditsEAauu7glTLc4rD0AJ2PAoQ5fEjiXHRA/t+lYB&#10;2TKcm7c5fpfHSu0Ikeo+Q8+iSgc1orW29Q7lUh8MditO3mjAaKxHY+NAth3STaImHOx2wj9OZhyn&#10;8z3a5+9n+Qx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u/2I19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A94A5E"/>
    <w:multiLevelType w:val="singleLevel"/>
    <w:tmpl w:val="EEA94A5E"/>
    <w:lvl w:ilvl="0" w:tentative="0">
      <w:start w:val="6"/>
      <w:numFmt w:val="chineseCounting"/>
      <w:suff w:val="nothing"/>
      <w:lvlText w:val="%1、"/>
      <w:lvlJc w:val="left"/>
      <w:rPr>
        <w:rFonts w:hint="eastAsia"/>
      </w:rPr>
    </w:lvl>
  </w:abstractNum>
  <w:abstractNum w:abstractNumId="1">
    <w:nsid w:val="EFB266E8"/>
    <w:multiLevelType w:val="singleLevel"/>
    <w:tmpl w:val="EFB266E8"/>
    <w:lvl w:ilvl="0" w:tentative="0">
      <w:start w:val="3"/>
      <w:numFmt w:val="chineseCounting"/>
      <w:suff w:val="nothing"/>
      <w:lvlText w:val="（%1）"/>
      <w:lvlJc w:val="left"/>
      <w:rPr>
        <w:rFonts w:hint="eastAsia"/>
      </w:rPr>
    </w:lvl>
  </w:abstractNum>
  <w:abstractNum w:abstractNumId="2">
    <w:nsid w:val="5D664AF4"/>
    <w:multiLevelType w:val="multilevel"/>
    <w:tmpl w:val="5D664AF4"/>
    <w:lvl w:ilvl="0" w:tentative="0">
      <w:start w:val="1"/>
      <w:numFmt w:val="chineseCountingThousand"/>
      <w:pStyle w:val="2"/>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nforcement="0"/>
  <w:defaultTabStop w:val="420"/>
  <w:evenAndOddHeaders w:val="1"/>
  <w:drawingGridHorizontalSpacing w:val="15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jg4YjU0MDJhZTBhNDhmNzUzMjVhZTNlYTY5Y2EifQ=="/>
  </w:docVars>
  <w:rsids>
    <w:rsidRoot w:val="00B978B1"/>
    <w:rsid w:val="00006A84"/>
    <w:rsid w:val="00014AB2"/>
    <w:rsid w:val="00014F8A"/>
    <w:rsid w:val="0002456F"/>
    <w:rsid w:val="00032E25"/>
    <w:rsid w:val="00035E6C"/>
    <w:rsid w:val="000365CE"/>
    <w:rsid w:val="000408A2"/>
    <w:rsid w:val="00044A79"/>
    <w:rsid w:val="00046DDC"/>
    <w:rsid w:val="00050CFE"/>
    <w:rsid w:val="00052C5F"/>
    <w:rsid w:val="000573E7"/>
    <w:rsid w:val="0006019B"/>
    <w:rsid w:val="00071098"/>
    <w:rsid w:val="00074A66"/>
    <w:rsid w:val="0008245D"/>
    <w:rsid w:val="000A5971"/>
    <w:rsid w:val="000A79EE"/>
    <w:rsid w:val="000A7C9F"/>
    <w:rsid w:val="000B3FDB"/>
    <w:rsid w:val="000B73CC"/>
    <w:rsid w:val="000C1F02"/>
    <w:rsid w:val="000E28E2"/>
    <w:rsid w:val="000F101F"/>
    <w:rsid w:val="000F5C51"/>
    <w:rsid w:val="00100F5B"/>
    <w:rsid w:val="0012027B"/>
    <w:rsid w:val="0012177E"/>
    <w:rsid w:val="0012290B"/>
    <w:rsid w:val="001229D9"/>
    <w:rsid w:val="0012496D"/>
    <w:rsid w:val="001255DE"/>
    <w:rsid w:val="001256FD"/>
    <w:rsid w:val="001273E3"/>
    <w:rsid w:val="00130605"/>
    <w:rsid w:val="00146B59"/>
    <w:rsid w:val="00170A95"/>
    <w:rsid w:val="0017520C"/>
    <w:rsid w:val="00176F07"/>
    <w:rsid w:val="001803ED"/>
    <w:rsid w:val="00193351"/>
    <w:rsid w:val="00197984"/>
    <w:rsid w:val="001B609D"/>
    <w:rsid w:val="001C2E88"/>
    <w:rsid w:val="001D69B3"/>
    <w:rsid w:val="001D7229"/>
    <w:rsid w:val="001E698B"/>
    <w:rsid w:val="001E7015"/>
    <w:rsid w:val="001F05D5"/>
    <w:rsid w:val="001F1DF4"/>
    <w:rsid w:val="00201753"/>
    <w:rsid w:val="002023BE"/>
    <w:rsid w:val="00203D5B"/>
    <w:rsid w:val="00204864"/>
    <w:rsid w:val="00206DA9"/>
    <w:rsid w:val="002079FE"/>
    <w:rsid w:val="00211F02"/>
    <w:rsid w:val="002155F8"/>
    <w:rsid w:val="002273E6"/>
    <w:rsid w:val="00233F82"/>
    <w:rsid w:val="00242FD6"/>
    <w:rsid w:val="00244768"/>
    <w:rsid w:val="00252F35"/>
    <w:rsid w:val="0025396A"/>
    <w:rsid w:val="00265E52"/>
    <w:rsid w:val="00267C23"/>
    <w:rsid w:val="00270120"/>
    <w:rsid w:val="00271501"/>
    <w:rsid w:val="00275CF8"/>
    <w:rsid w:val="002763F3"/>
    <w:rsid w:val="002872C8"/>
    <w:rsid w:val="002910F8"/>
    <w:rsid w:val="00296180"/>
    <w:rsid w:val="002A18D9"/>
    <w:rsid w:val="002A1B07"/>
    <w:rsid w:val="002A2EBD"/>
    <w:rsid w:val="002B194A"/>
    <w:rsid w:val="002C0205"/>
    <w:rsid w:val="002C670B"/>
    <w:rsid w:val="002C772B"/>
    <w:rsid w:val="002D030A"/>
    <w:rsid w:val="002E401B"/>
    <w:rsid w:val="002E575E"/>
    <w:rsid w:val="002F24F7"/>
    <w:rsid w:val="002F2675"/>
    <w:rsid w:val="002F2C3D"/>
    <w:rsid w:val="002F6DC2"/>
    <w:rsid w:val="003057FC"/>
    <w:rsid w:val="0030582F"/>
    <w:rsid w:val="00306A17"/>
    <w:rsid w:val="00316117"/>
    <w:rsid w:val="003312F8"/>
    <w:rsid w:val="003350CF"/>
    <w:rsid w:val="00335687"/>
    <w:rsid w:val="003424C6"/>
    <w:rsid w:val="00353600"/>
    <w:rsid w:val="00354E7C"/>
    <w:rsid w:val="003573B2"/>
    <w:rsid w:val="00362E22"/>
    <w:rsid w:val="00363C71"/>
    <w:rsid w:val="003666C9"/>
    <w:rsid w:val="003666D1"/>
    <w:rsid w:val="00390925"/>
    <w:rsid w:val="003A1C96"/>
    <w:rsid w:val="003A5330"/>
    <w:rsid w:val="003B1B4B"/>
    <w:rsid w:val="003B480A"/>
    <w:rsid w:val="003C6B6D"/>
    <w:rsid w:val="003D0297"/>
    <w:rsid w:val="003D1601"/>
    <w:rsid w:val="003D77BA"/>
    <w:rsid w:val="0040034E"/>
    <w:rsid w:val="00400C7A"/>
    <w:rsid w:val="00410D26"/>
    <w:rsid w:val="004327D2"/>
    <w:rsid w:val="0043406D"/>
    <w:rsid w:val="004341E4"/>
    <w:rsid w:val="00436B04"/>
    <w:rsid w:val="004407B5"/>
    <w:rsid w:val="0044506F"/>
    <w:rsid w:val="004518BD"/>
    <w:rsid w:val="00465DFD"/>
    <w:rsid w:val="00475EA1"/>
    <w:rsid w:val="00480105"/>
    <w:rsid w:val="0048545B"/>
    <w:rsid w:val="00492DB4"/>
    <w:rsid w:val="00496023"/>
    <w:rsid w:val="004C4BDB"/>
    <w:rsid w:val="004C5D98"/>
    <w:rsid w:val="004C6E05"/>
    <w:rsid w:val="004E4CA1"/>
    <w:rsid w:val="00505677"/>
    <w:rsid w:val="0051139A"/>
    <w:rsid w:val="0051554E"/>
    <w:rsid w:val="0052183D"/>
    <w:rsid w:val="00525BAB"/>
    <w:rsid w:val="005438EB"/>
    <w:rsid w:val="00545376"/>
    <w:rsid w:val="00547553"/>
    <w:rsid w:val="00552FF2"/>
    <w:rsid w:val="005532AA"/>
    <w:rsid w:val="00566730"/>
    <w:rsid w:val="00566DA6"/>
    <w:rsid w:val="00572D27"/>
    <w:rsid w:val="0057548E"/>
    <w:rsid w:val="005850E8"/>
    <w:rsid w:val="0059441E"/>
    <w:rsid w:val="005C1B46"/>
    <w:rsid w:val="005D2AC5"/>
    <w:rsid w:val="005D78F3"/>
    <w:rsid w:val="005D7ED4"/>
    <w:rsid w:val="005E3C06"/>
    <w:rsid w:val="005F2D5B"/>
    <w:rsid w:val="00603FD8"/>
    <w:rsid w:val="00606EA4"/>
    <w:rsid w:val="006070D4"/>
    <w:rsid w:val="00610784"/>
    <w:rsid w:val="00614B37"/>
    <w:rsid w:val="00616084"/>
    <w:rsid w:val="00621C86"/>
    <w:rsid w:val="0062418D"/>
    <w:rsid w:val="00627686"/>
    <w:rsid w:val="006357DD"/>
    <w:rsid w:val="00643D02"/>
    <w:rsid w:val="00644AC9"/>
    <w:rsid w:val="00644CAB"/>
    <w:rsid w:val="00645BC8"/>
    <w:rsid w:val="00647809"/>
    <w:rsid w:val="00653FFC"/>
    <w:rsid w:val="00660B4E"/>
    <w:rsid w:val="00662ACA"/>
    <w:rsid w:val="00665F06"/>
    <w:rsid w:val="00674099"/>
    <w:rsid w:val="00675011"/>
    <w:rsid w:val="00675997"/>
    <w:rsid w:val="00684DD7"/>
    <w:rsid w:val="006875CD"/>
    <w:rsid w:val="00687A19"/>
    <w:rsid w:val="00694B64"/>
    <w:rsid w:val="006954C5"/>
    <w:rsid w:val="006963AF"/>
    <w:rsid w:val="00697202"/>
    <w:rsid w:val="006B19CD"/>
    <w:rsid w:val="006C172A"/>
    <w:rsid w:val="006C38FC"/>
    <w:rsid w:val="006C4379"/>
    <w:rsid w:val="006C49ED"/>
    <w:rsid w:val="006D667D"/>
    <w:rsid w:val="006E0179"/>
    <w:rsid w:val="006E08CA"/>
    <w:rsid w:val="006E19C4"/>
    <w:rsid w:val="006E244A"/>
    <w:rsid w:val="006E2DA0"/>
    <w:rsid w:val="006F1ED8"/>
    <w:rsid w:val="006F7B7A"/>
    <w:rsid w:val="00700434"/>
    <w:rsid w:val="007056A7"/>
    <w:rsid w:val="00711B4B"/>
    <w:rsid w:val="00730E50"/>
    <w:rsid w:val="0073375F"/>
    <w:rsid w:val="00735270"/>
    <w:rsid w:val="0074261D"/>
    <w:rsid w:val="007552E5"/>
    <w:rsid w:val="00757466"/>
    <w:rsid w:val="007635E8"/>
    <w:rsid w:val="00766E70"/>
    <w:rsid w:val="00771200"/>
    <w:rsid w:val="00780879"/>
    <w:rsid w:val="00792113"/>
    <w:rsid w:val="00794B4D"/>
    <w:rsid w:val="00795221"/>
    <w:rsid w:val="007953BA"/>
    <w:rsid w:val="007963A7"/>
    <w:rsid w:val="007A32CB"/>
    <w:rsid w:val="007B2788"/>
    <w:rsid w:val="007B37C8"/>
    <w:rsid w:val="007C3493"/>
    <w:rsid w:val="007C6E47"/>
    <w:rsid w:val="007D7B3D"/>
    <w:rsid w:val="007D7D26"/>
    <w:rsid w:val="007E13CB"/>
    <w:rsid w:val="007E2D33"/>
    <w:rsid w:val="007E6674"/>
    <w:rsid w:val="007F5052"/>
    <w:rsid w:val="007F7AE2"/>
    <w:rsid w:val="0080733A"/>
    <w:rsid w:val="00811C36"/>
    <w:rsid w:val="00813D37"/>
    <w:rsid w:val="00813FCB"/>
    <w:rsid w:val="008158A9"/>
    <w:rsid w:val="00835EA5"/>
    <w:rsid w:val="00846A97"/>
    <w:rsid w:val="00847BCA"/>
    <w:rsid w:val="008506E1"/>
    <w:rsid w:val="0086457F"/>
    <w:rsid w:val="0086600E"/>
    <w:rsid w:val="00877554"/>
    <w:rsid w:val="00882ABE"/>
    <w:rsid w:val="008857B3"/>
    <w:rsid w:val="00890B3F"/>
    <w:rsid w:val="008A3E5E"/>
    <w:rsid w:val="008B2479"/>
    <w:rsid w:val="008B251A"/>
    <w:rsid w:val="008C0110"/>
    <w:rsid w:val="008C0635"/>
    <w:rsid w:val="008C1857"/>
    <w:rsid w:val="008C7207"/>
    <w:rsid w:val="008D7CF4"/>
    <w:rsid w:val="008E1613"/>
    <w:rsid w:val="008E51F0"/>
    <w:rsid w:val="008F120A"/>
    <w:rsid w:val="008F49E6"/>
    <w:rsid w:val="008F7279"/>
    <w:rsid w:val="00904ED1"/>
    <w:rsid w:val="00906107"/>
    <w:rsid w:val="00907FA5"/>
    <w:rsid w:val="00915AE9"/>
    <w:rsid w:val="00922D55"/>
    <w:rsid w:val="00930FBF"/>
    <w:rsid w:val="00937F99"/>
    <w:rsid w:val="00937FFA"/>
    <w:rsid w:val="00940CB9"/>
    <w:rsid w:val="009422E5"/>
    <w:rsid w:val="009425D6"/>
    <w:rsid w:val="009438DF"/>
    <w:rsid w:val="00945865"/>
    <w:rsid w:val="00954A4E"/>
    <w:rsid w:val="00962A3F"/>
    <w:rsid w:val="0097446A"/>
    <w:rsid w:val="009924BF"/>
    <w:rsid w:val="00995CB5"/>
    <w:rsid w:val="009A2070"/>
    <w:rsid w:val="009A29ED"/>
    <w:rsid w:val="009A6A68"/>
    <w:rsid w:val="009B4DD3"/>
    <w:rsid w:val="009B581D"/>
    <w:rsid w:val="009C2308"/>
    <w:rsid w:val="009C3188"/>
    <w:rsid w:val="009E4153"/>
    <w:rsid w:val="009E6584"/>
    <w:rsid w:val="009E6BB5"/>
    <w:rsid w:val="009F5B00"/>
    <w:rsid w:val="009F6D70"/>
    <w:rsid w:val="009F71E8"/>
    <w:rsid w:val="00A14945"/>
    <w:rsid w:val="00A223F5"/>
    <w:rsid w:val="00A307F0"/>
    <w:rsid w:val="00A3201C"/>
    <w:rsid w:val="00A333CD"/>
    <w:rsid w:val="00A52930"/>
    <w:rsid w:val="00A53203"/>
    <w:rsid w:val="00A55672"/>
    <w:rsid w:val="00A558B1"/>
    <w:rsid w:val="00A60082"/>
    <w:rsid w:val="00A60F69"/>
    <w:rsid w:val="00A6540B"/>
    <w:rsid w:val="00A71B48"/>
    <w:rsid w:val="00A74761"/>
    <w:rsid w:val="00A8013A"/>
    <w:rsid w:val="00A85495"/>
    <w:rsid w:val="00A96E47"/>
    <w:rsid w:val="00A971FE"/>
    <w:rsid w:val="00A97704"/>
    <w:rsid w:val="00AA4FFA"/>
    <w:rsid w:val="00AB2826"/>
    <w:rsid w:val="00AB32E8"/>
    <w:rsid w:val="00AB5FBB"/>
    <w:rsid w:val="00AC64BC"/>
    <w:rsid w:val="00AD44CD"/>
    <w:rsid w:val="00AD5F58"/>
    <w:rsid w:val="00AD7579"/>
    <w:rsid w:val="00AE1AB7"/>
    <w:rsid w:val="00AF0960"/>
    <w:rsid w:val="00AF61CD"/>
    <w:rsid w:val="00B00096"/>
    <w:rsid w:val="00B00688"/>
    <w:rsid w:val="00B01927"/>
    <w:rsid w:val="00B12060"/>
    <w:rsid w:val="00B13D91"/>
    <w:rsid w:val="00B51007"/>
    <w:rsid w:val="00B5476C"/>
    <w:rsid w:val="00B57ABB"/>
    <w:rsid w:val="00B640D7"/>
    <w:rsid w:val="00B6702F"/>
    <w:rsid w:val="00B71509"/>
    <w:rsid w:val="00B76F85"/>
    <w:rsid w:val="00B84C89"/>
    <w:rsid w:val="00B934F8"/>
    <w:rsid w:val="00B958C7"/>
    <w:rsid w:val="00B95E95"/>
    <w:rsid w:val="00B978B1"/>
    <w:rsid w:val="00BA2600"/>
    <w:rsid w:val="00BB609D"/>
    <w:rsid w:val="00BC6247"/>
    <w:rsid w:val="00BC738A"/>
    <w:rsid w:val="00BC77DA"/>
    <w:rsid w:val="00BD0F9B"/>
    <w:rsid w:val="00BD44E3"/>
    <w:rsid w:val="00BD4BB3"/>
    <w:rsid w:val="00BD5814"/>
    <w:rsid w:val="00BD6F37"/>
    <w:rsid w:val="00BD7668"/>
    <w:rsid w:val="00BE132E"/>
    <w:rsid w:val="00BE31C0"/>
    <w:rsid w:val="00BE68CC"/>
    <w:rsid w:val="00BF0182"/>
    <w:rsid w:val="00BF45A0"/>
    <w:rsid w:val="00BF542C"/>
    <w:rsid w:val="00BF6499"/>
    <w:rsid w:val="00C02DC1"/>
    <w:rsid w:val="00C111F2"/>
    <w:rsid w:val="00C14091"/>
    <w:rsid w:val="00C30D84"/>
    <w:rsid w:val="00C32329"/>
    <w:rsid w:val="00C326F6"/>
    <w:rsid w:val="00C34C5F"/>
    <w:rsid w:val="00C4105B"/>
    <w:rsid w:val="00C410E2"/>
    <w:rsid w:val="00C42440"/>
    <w:rsid w:val="00C444F7"/>
    <w:rsid w:val="00C50E73"/>
    <w:rsid w:val="00C5305B"/>
    <w:rsid w:val="00C5490A"/>
    <w:rsid w:val="00C60C33"/>
    <w:rsid w:val="00C63497"/>
    <w:rsid w:val="00C81F34"/>
    <w:rsid w:val="00C864AA"/>
    <w:rsid w:val="00C9259E"/>
    <w:rsid w:val="00C93168"/>
    <w:rsid w:val="00C966F9"/>
    <w:rsid w:val="00CA29EB"/>
    <w:rsid w:val="00CC1372"/>
    <w:rsid w:val="00CC3CB0"/>
    <w:rsid w:val="00CC4B07"/>
    <w:rsid w:val="00CC4C58"/>
    <w:rsid w:val="00CD1B9F"/>
    <w:rsid w:val="00CE3CBA"/>
    <w:rsid w:val="00CF005A"/>
    <w:rsid w:val="00CF1547"/>
    <w:rsid w:val="00CF5007"/>
    <w:rsid w:val="00CF723D"/>
    <w:rsid w:val="00D0020D"/>
    <w:rsid w:val="00D00C28"/>
    <w:rsid w:val="00D0497E"/>
    <w:rsid w:val="00D07319"/>
    <w:rsid w:val="00D12CF9"/>
    <w:rsid w:val="00D13A13"/>
    <w:rsid w:val="00D31927"/>
    <w:rsid w:val="00D33539"/>
    <w:rsid w:val="00D35F14"/>
    <w:rsid w:val="00D40707"/>
    <w:rsid w:val="00D42C71"/>
    <w:rsid w:val="00D43694"/>
    <w:rsid w:val="00D44669"/>
    <w:rsid w:val="00D477F6"/>
    <w:rsid w:val="00D503FA"/>
    <w:rsid w:val="00D50F1A"/>
    <w:rsid w:val="00D55E24"/>
    <w:rsid w:val="00D56BAD"/>
    <w:rsid w:val="00D611D9"/>
    <w:rsid w:val="00D62C94"/>
    <w:rsid w:val="00D74D90"/>
    <w:rsid w:val="00D80552"/>
    <w:rsid w:val="00D830E1"/>
    <w:rsid w:val="00D972D3"/>
    <w:rsid w:val="00DA3800"/>
    <w:rsid w:val="00DA58C9"/>
    <w:rsid w:val="00DC18F4"/>
    <w:rsid w:val="00DC1EFA"/>
    <w:rsid w:val="00DC335D"/>
    <w:rsid w:val="00DC50E8"/>
    <w:rsid w:val="00DD460A"/>
    <w:rsid w:val="00DE0F3C"/>
    <w:rsid w:val="00DE4150"/>
    <w:rsid w:val="00DF02C0"/>
    <w:rsid w:val="00E1351A"/>
    <w:rsid w:val="00E13E34"/>
    <w:rsid w:val="00E16DDC"/>
    <w:rsid w:val="00E25CD8"/>
    <w:rsid w:val="00E27187"/>
    <w:rsid w:val="00E36E9F"/>
    <w:rsid w:val="00E42E72"/>
    <w:rsid w:val="00E460C7"/>
    <w:rsid w:val="00E46556"/>
    <w:rsid w:val="00E51965"/>
    <w:rsid w:val="00E649DB"/>
    <w:rsid w:val="00E64B99"/>
    <w:rsid w:val="00E76BDE"/>
    <w:rsid w:val="00E77F97"/>
    <w:rsid w:val="00E80687"/>
    <w:rsid w:val="00E8181E"/>
    <w:rsid w:val="00E81B77"/>
    <w:rsid w:val="00E92506"/>
    <w:rsid w:val="00E92EF8"/>
    <w:rsid w:val="00E945C7"/>
    <w:rsid w:val="00EA3CCD"/>
    <w:rsid w:val="00EA55B8"/>
    <w:rsid w:val="00EB5C88"/>
    <w:rsid w:val="00EC0DBF"/>
    <w:rsid w:val="00EC388B"/>
    <w:rsid w:val="00EC43AA"/>
    <w:rsid w:val="00EC7329"/>
    <w:rsid w:val="00ED2E98"/>
    <w:rsid w:val="00ED3781"/>
    <w:rsid w:val="00ED6016"/>
    <w:rsid w:val="00EE1C09"/>
    <w:rsid w:val="00EE29C8"/>
    <w:rsid w:val="00EE5026"/>
    <w:rsid w:val="00EE68AE"/>
    <w:rsid w:val="00EE775A"/>
    <w:rsid w:val="00EF36FB"/>
    <w:rsid w:val="00EF58DB"/>
    <w:rsid w:val="00F01B72"/>
    <w:rsid w:val="00F03661"/>
    <w:rsid w:val="00F113B9"/>
    <w:rsid w:val="00F16A76"/>
    <w:rsid w:val="00F2169E"/>
    <w:rsid w:val="00F2343A"/>
    <w:rsid w:val="00F25FD4"/>
    <w:rsid w:val="00F27358"/>
    <w:rsid w:val="00F35C9D"/>
    <w:rsid w:val="00F37FB4"/>
    <w:rsid w:val="00F547DB"/>
    <w:rsid w:val="00F62969"/>
    <w:rsid w:val="00F743AF"/>
    <w:rsid w:val="00F83F76"/>
    <w:rsid w:val="00F864B6"/>
    <w:rsid w:val="00F86E43"/>
    <w:rsid w:val="00F90FA9"/>
    <w:rsid w:val="00F93B67"/>
    <w:rsid w:val="00F9496C"/>
    <w:rsid w:val="00FA33DC"/>
    <w:rsid w:val="00FA75AD"/>
    <w:rsid w:val="00FB32FB"/>
    <w:rsid w:val="00FB47F5"/>
    <w:rsid w:val="00FC3D03"/>
    <w:rsid w:val="00FC3D3C"/>
    <w:rsid w:val="00FC58E3"/>
    <w:rsid w:val="00FC6721"/>
    <w:rsid w:val="00FD1EB5"/>
    <w:rsid w:val="00FD5484"/>
    <w:rsid w:val="00FE4868"/>
    <w:rsid w:val="00FF042F"/>
    <w:rsid w:val="00FF31A6"/>
    <w:rsid w:val="02671FF0"/>
    <w:rsid w:val="033B44CC"/>
    <w:rsid w:val="03D21409"/>
    <w:rsid w:val="040E46B8"/>
    <w:rsid w:val="04ED064B"/>
    <w:rsid w:val="05B43A27"/>
    <w:rsid w:val="069A4BC0"/>
    <w:rsid w:val="06C61372"/>
    <w:rsid w:val="06F95014"/>
    <w:rsid w:val="07472750"/>
    <w:rsid w:val="081738BD"/>
    <w:rsid w:val="08D66DC4"/>
    <w:rsid w:val="09C95458"/>
    <w:rsid w:val="0A02683E"/>
    <w:rsid w:val="0A631BDE"/>
    <w:rsid w:val="0B2E72C7"/>
    <w:rsid w:val="0B813DA3"/>
    <w:rsid w:val="0BB14664"/>
    <w:rsid w:val="0D941BE6"/>
    <w:rsid w:val="0E8F4032"/>
    <w:rsid w:val="0EA86F90"/>
    <w:rsid w:val="0F65796B"/>
    <w:rsid w:val="0F7E5DF3"/>
    <w:rsid w:val="1079761D"/>
    <w:rsid w:val="11BD0EC0"/>
    <w:rsid w:val="125F245C"/>
    <w:rsid w:val="126006AE"/>
    <w:rsid w:val="14A07737"/>
    <w:rsid w:val="16854E0D"/>
    <w:rsid w:val="18381B9B"/>
    <w:rsid w:val="185F289D"/>
    <w:rsid w:val="1A7E355A"/>
    <w:rsid w:val="1B8829E2"/>
    <w:rsid w:val="1F6F2966"/>
    <w:rsid w:val="1F8F6677"/>
    <w:rsid w:val="1FE92707"/>
    <w:rsid w:val="21907816"/>
    <w:rsid w:val="2239706E"/>
    <w:rsid w:val="234C5C0D"/>
    <w:rsid w:val="2452064C"/>
    <w:rsid w:val="24537401"/>
    <w:rsid w:val="24E44312"/>
    <w:rsid w:val="26DE23D0"/>
    <w:rsid w:val="272858B9"/>
    <w:rsid w:val="278018B7"/>
    <w:rsid w:val="299C6130"/>
    <w:rsid w:val="2A473AAA"/>
    <w:rsid w:val="2C932528"/>
    <w:rsid w:val="2E7132AC"/>
    <w:rsid w:val="30EC4669"/>
    <w:rsid w:val="35556A0D"/>
    <w:rsid w:val="36F84608"/>
    <w:rsid w:val="38EA2A58"/>
    <w:rsid w:val="3AFD2E2B"/>
    <w:rsid w:val="3C0B1212"/>
    <w:rsid w:val="3C7B7229"/>
    <w:rsid w:val="3CC7225D"/>
    <w:rsid w:val="3DF75D55"/>
    <w:rsid w:val="3E595D6A"/>
    <w:rsid w:val="3FEF7833"/>
    <w:rsid w:val="41EA7D42"/>
    <w:rsid w:val="420F243F"/>
    <w:rsid w:val="46652484"/>
    <w:rsid w:val="47FB173F"/>
    <w:rsid w:val="4964246E"/>
    <w:rsid w:val="49F05DC0"/>
    <w:rsid w:val="4A9E2E1A"/>
    <w:rsid w:val="4A9E35F3"/>
    <w:rsid w:val="4BBF5216"/>
    <w:rsid w:val="4C5E2EF2"/>
    <w:rsid w:val="4E7D1CEB"/>
    <w:rsid w:val="50EF62F2"/>
    <w:rsid w:val="51194DEA"/>
    <w:rsid w:val="526F6233"/>
    <w:rsid w:val="557269A0"/>
    <w:rsid w:val="56223E40"/>
    <w:rsid w:val="564E7DEA"/>
    <w:rsid w:val="571873F4"/>
    <w:rsid w:val="572E7D9A"/>
    <w:rsid w:val="57F77B42"/>
    <w:rsid w:val="58034073"/>
    <w:rsid w:val="5A0B4C97"/>
    <w:rsid w:val="5A5A3860"/>
    <w:rsid w:val="5CB51163"/>
    <w:rsid w:val="5CCC1AF9"/>
    <w:rsid w:val="5E1C4361"/>
    <w:rsid w:val="5E815992"/>
    <w:rsid w:val="5F5B57D1"/>
    <w:rsid w:val="621D5D25"/>
    <w:rsid w:val="63883E5B"/>
    <w:rsid w:val="66A075D9"/>
    <w:rsid w:val="66AC2BAB"/>
    <w:rsid w:val="68FA18A4"/>
    <w:rsid w:val="69211A39"/>
    <w:rsid w:val="697E72CE"/>
    <w:rsid w:val="69FA3E24"/>
    <w:rsid w:val="6AF91DA3"/>
    <w:rsid w:val="6BAA776A"/>
    <w:rsid w:val="6D351920"/>
    <w:rsid w:val="6D616DB0"/>
    <w:rsid w:val="6EA0469A"/>
    <w:rsid w:val="6EEC1DE4"/>
    <w:rsid w:val="6F1C53AC"/>
    <w:rsid w:val="714401E7"/>
    <w:rsid w:val="72D0088C"/>
    <w:rsid w:val="742F7F2A"/>
    <w:rsid w:val="74A26BA7"/>
    <w:rsid w:val="768F7D64"/>
    <w:rsid w:val="76A14C0C"/>
    <w:rsid w:val="76D852F0"/>
    <w:rsid w:val="78A8749B"/>
    <w:rsid w:val="7B9F11A5"/>
    <w:rsid w:val="7E2F6BBA"/>
    <w:rsid w:val="7FF2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firstLineChars="200"/>
      <w:jc w:val="both"/>
      <w:textAlignment w:val="baseline"/>
    </w:pPr>
    <w:rPr>
      <w:rFonts w:ascii="Times New Roman" w:hAnsi="Times New Roman" w:eastAsia="仿宋_GB2312" w:cs="Times New Roman"/>
      <w:color w:val="000000"/>
      <w:sz w:val="31"/>
      <w:u w:color="000000"/>
      <w:lang w:val="en-US" w:eastAsia="zh-CN" w:bidi="ar-SA"/>
    </w:rPr>
  </w:style>
  <w:style w:type="paragraph" w:styleId="2">
    <w:name w:val="heading 1"/>
    <w:basedOn w:val="3"/>
    <w:next w:val="1"/>
    <w:link w:val="34"/>
    <w:qFormat/>
    <w:uiPriority w:val="9"/>
    <w:pPr>
      <w:numPr>
        <w:ilvl w:val="0"/>
        <w:numId w:val="1"/>
      </w:numPr>
      <w:spacing w:beforeLines="100" w:afterLines="50"/>
      <w:ind w:left="0" w:firstLine="0" w:firstLineChars="0"/>
      <w:outlineLvl w:val="0"/>
    </w:pPr>
    <w:rPr>
      <w:rFonts w:ascii="仿宋" w:hAnsi="仿宋" w:eastAsia="仿宋"/>
      <w:b/>
      <w:sz w:val="32"/>
      <w:szCs w:val="2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b/>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列出段落1"/>
    <w:basedOn w:val="1"/>
    <w:qFormat/>
    <w:uiPriority w:val="34"/>
    <w:pPr>
      <w:widowControl w:val="0"/>
      <w:spacing w:line="240" w:lineRule="auto"/>
      <w:ind w:firstLine="420"/>
      <w:textAlignment w:val="auto"/>
    </w:pPr>
    <w:rPr>
      <w:rFonts w:ascii="Calibri" w:hAnsi="Calibri" w:eastAsia="宋体"/>
      <w:color w:val="auto"/>
      <w:kern w:val="2"/>
      <w:sz w:val="21"/>
      <w:szCs w:val="22"/>
    </w:rPr>
  </w:style>
  <w:style w:type="paragraph" w:styleId="5">
    <w:name w:val="Plain Text"/>
    <w:basedOn w:val="1"/>
    <w:link w:val="37"/>
    <w:qFormat/>
    <w:uiPriority w:val="0"/>
    <w:pPr>
      <w:widowControl w:val="0"/>
      <w:spacing w:line="240" w:lineRule="auto"/>
      <w:ind w:firstLine="0"/>
      <w:textAlignment w:val="auto"/>
    </w:pPr>
    <w:rPr>
      <w:rFonts w:ascii="宋体" w:hAnsi="Courier New" w:eastAsia="宋体" w:cs="宋体"/>
      <w:color w:val="auto"/>
      <w:kern w:val="2"/>
      <w:sz w:val="21"/>
      <w:szCs w:val="22"/>
    </w:rPr>
  </w:style>
  <w:style w:type="paragraph" w:styleId="6">
    <w:name w:val="Date"/>
    <w:basedOn w:val="1"/>
    <w:next w:val="1"/>
    <w:link w:val="33"/>
    <w:semiHidden/>
    <w:unhideWhenUsed/>
    <w:qFormat/>
    <w:uiPriority w:val="99"/>
    <w:pPr>
      <w:ind w:left="100" w:leftChars="2500"/>
    </w:pPr>
  </w:style>
  <w:style w:type="paragraph" w:styleId="7">
    <w:name w:val="Balloon Text"/>
    <w:basedOn w:val="1"/>
    <w:semiHidden/>
    <w:qFormat/>
    <w:uiPriority w:val="0"/>
    <w:rPr>
      <w:sz w:val="18"/>
      <w:szCs w:val="18"/>
    </w:rPr>
  </w:style>
  <w:style w:type="paragraph" w:styleId="8">
    <w:name w:val="footer"/>
    <w:basedOn w:val="1"/>
    <w:link w:val="29"/>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0"/>
    <w:pPr>
      <w:spacing w:before="100" w:beforeAutospacing="1" w:after="100" w:afterAutospacing="1" w:line="240" w:lineRule="auto"/>
      <w:ind w:firstLine="0"/>
      <w:jc w:val="left"/>
      <w:textAlignment w:val="auto"/>
    </w:pPr>
    <w:rPr>
      <w:rFonts w:ascii="宋体" w:hAnsi="宋体" w:eastAsia="宋体" w:cs="宋体"/>
      <w:color w:val="auto"/>
      <w:sz w:val="24"/>
      <w:szCs w:val="24"/>
    </w:r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paragraph" w:customStyle="1" w:styleId="15">
    <w:name w:val="p0"/>
    <w:basedOn w:val="1"/>
    <w:qFormat/>
    <w:uiPriority w:val="0"/>
    <w:pPr>
      <w:widowControl w:val="0"/>
      <w:spacing w:line="240" w:lineRule="auto"/>
      <w:ind w:firstLine="0"/>
      <w:textAlignment w:val="auto"/>
    </w:pPr>
    <w:rPr>
      <w:rFonts w:eastAsia="宋体"/>
      <w:color w:val="auto"/>
      <w:sz w:val="21"/>
      <w:szCs w:val="21"/>
    </w:rPr>
  </w:style>
  <w:style w:type="character" w:customStyle="1" w:styleId="16">
    <w:name w:val="链接"/>
    <w:basedOn w:val="12"/>
    <w:qFormat/>
    <w:uiPriority w:val="0"/>
    <w:rPr>
      <w:rFonts w:ascii="Times New Roman" w:eastAsia="宋体"/>
      <w:color w:val="0000FF"/>
      <w:sz w:val="21"/>
      <w:u w:val="single" w:color="0000FF"/>
      <w:vertAlign w:val="baseline"/>
      <w:lang w:val="en-US" w:eastAsia="zh-CN"/>
    </w:rPr>
  </w:style>
  <w:style w:type="paragraph" w:customStyle="1" w:styleId="17">
    <w:name w:val="目录1"/>
    <w:basedOn w:val="1"/>
    <w:next w:val="1"/>
    <w:qFormat/>
    <w:uiPriority w:val="0"/>
    <w:pPr>
      <w:tabs>
        <w:tab w:val="left" w:leader="dot" w:pos="8503"/>
      </w:tabs>
      <w:spacing w:after="136" w:line="289" w:lineRule="atLeast"/>
      <w:ind w:firstLine="0"/>
      <w:jc w:val="left"/>
    </w:pPr>
    <w:rPr>
      <w:rFonts w:ascii="Arial" w:eastAsia="黑体"/>
      <w:sz w:val="28"/>
    </w:rPr>
  </w:style>
  <w:style w:type="paragraph" w:customStyle="1" w:styleId="18">
    <w:name w:val="目录标题"/>
    <w:basedOn w:val="1"/>
    <w:next w:val="1"/>
    <w:qFormat/>
    <w:uiPriority w:val="0"/>
    <w:pPr>
      <w:spacing w:before="566" w:after="544" w:line="566" w:lineRule="atLeast"/>
      <w:ind w:firstLine="419"/>
      <w:jc w:val="center"/>
    </w:pPr>
    <w:rPr>
      <w:rFonts w:ascii="Arial" w:eastAsia="黑体"/>
      <w:spacing w:val="566"/>
      <w:sz w:val="54"/>
    </w:rPr>
  </w:style>
  <w:style w:type="paragraph" w:customStyle="1" w:styleId="19">
    <w:name w:val="文章总标题"/>
    <w:basedOn w:val="1"/>
    <w:next w:val="20"/>
    <w:qFormat/>
    <w:uiPriority w:val="0"/>
    <w:pPr>
      <w:spacing w:before="566" w:after="544" w:line="566" w:lineRule="atLeast"/>
      <w:ind w:firstLine="0"/>
      <w:jc w:val="center"/>
    </w:pPr>
    <w:rPr>
      <w:rFonts w:ascii="Arial" w:eastAsia="黑体"/>
      <w:sz w:val="54"/>
    </w:rPr>
  </w:style>
  <w:style w:type="paragraph" w:customStyle="1" w:styleId="20">
    <w:name w:val="文章附标题"/>
    <w:basedOn w:val="1"/>
    <w:next w:val="21"/>
    <w:qFormat/>
    <w:uiPriority w:val="0"/>
    <w:pPr>
      <w:spacing w:before="187" w:after="175" w:line="374" w:lineRule="atLeast"/>
      <w:ind w:firstLine="0"/>
      <w:jc w:val="center"/>
    </w:pPr>
    <w:rPr>
      <w:rFonts w:eastAsia="宋体"/>
      <w:sz w:val="36"/>
    </w:rPr>
  </w:style>
  <w:style w:type="paragraph" w:customStyle="1" w:styleId="21">
    <w:name w:val="章标题"/>
    <w:basedOn w:val="1"/>
    <w:next w:val="22"/>
    <w:qFormat/>
    <w:uiPriority w:val="0"/>
    <w:pPr>
      <w:spacing w:before="158" w:after="153" w:line="323" w:lineRule="atLeast"/>
      <w:ind w:firstLine="0"/>
      <w:jc w:val="center"/>
    </w:pPr>
    <w:rPr>
      <w:rFonts w:ascii="Arial" w:eastAsia="黑体"/>
    </w:rPr>
  </w:style>
  <w:style w:type="paragraph" w:customStyle="1" w:styleId="22">
    <w:name w:val="节标题"/>
    <w:basedOn w:val="1"/>
    <w:next w:val="23"/>
    <w:qFormat/>
    <w:uiPriority w:val="0"/>
    <w:pPr>
      <w:spacing w:line="289" w:lineRule="atLeast"/>
      <w:ind w:firstLine="0"/>
      <w:jc w:val="center"/>
    </w:pPr>
    <w:rPr>
      <w:rFonts w:eastAsia="宋体"/>
      <w:sz w:val="28"/>
    </w:rPr>
  </w:style>
  <w:style w:type="paragraph" w:customStyle="1" w:styleId="23">
    <w:name w:val="小节标题"/>
    <w:basedOn w:val="1"/>
    <w:next w:val="1"/>
    <w:qFormat/>
    <w:uiPriority w:val="0"/>
    <w:pPr>
      <w:spacing w:before="175" w:after="102" w:line="351" w:lineRule="atLeast"/>
      <w:ind w:firstLine="0"/>
    </w:pPr>
    <w:rPr>
      <w:rFonts w:eastAsia="黑体"/>
      <w:sz w:val="21"/>
    </w:rPr>
  </w:style>
  <w:style w:type="paragraph" w:customStyle="1" w:styleId="24">
    <w:name w:val="目录3"/>
    <w:basedOn w:val="1"/>
    <w:next w:val="1"/>
    <w:qFormat/>
    <w:uiPriority w:val="0"/>
    <w:pPr>
      <w:tabs>
        <w:tab w:val="left" w:leader="dot" w:pos="8503"/>
      </w:tabs>
      <w:spacing w:line="317" w:lineRule="atLeast"/>
      <w:ind w:firstLine="419"/>
    </w:pPr>
    <w:rPr>
      <w:rFonts w:eastAsia="宋体"/>
      <w:sz w:val="21"/>
    </w:rPr>
  </w:style>
  <w:style w:type="paragraph" w:customStyle="1" w:styleId="25">
    <w:name w:val="目录2"/>
    <w:basedOn w:val="1"/>
    <w:next w:val="1"/>
    <w:qFormat/>
    <w:uiPriority w:val="0"/>
    <w:pPr>
      <w:tabs>
        <w:tab w:val="left" w:leader="dot" w:pos="8503"/>
      </w:tabs>
      <w:spacing w:line="317" w:lineRule="atLeast"/>
      <w:ind w:firstLine="209"/>
    </w:pPr>
    <w:rPr>
      <w:rFonts w:eastAsia="宋体"/>
      <w:sz w:val="21"/>
    </w:rPr>
  </w:style>
  <w:style w:type="paragraph" w:customStyle="1" w:styleId="26">
    <w:name w:val="目录4"/>
    <w:basedOn w:val="1"/>
    <w:next w:val="1"/>
    <w:qFormat/>
    <w:uiPriority w:val="0"/>
    <w:pPr>
      <w:tabs>
        <w:tab w:val="left" w:leader="dot" w:pos="8503"/>
      </w:tabs>
      <w:spacing w:line="317" w:lineRule="atLeast"/>
      <w:ind w:firstLine="629"/>
    </w:pPr>
    <w:rPr>
      <w:rFonts w:eastAsia="宋体"/>
      <w:sz w:val="21"/>
    </w:rPr>
  </w:style>
  <w:style w:type="character" w:customStyle="1" w:styleId="27">
    <w:name w:val="超级链接"/>
    <w:basedOn w:val="12"/>
    <w:qFormat/>
    <w:uiPriority w:val="0"/>
    <w:rPr>
      <w:rFonts w:ascii="Times New Roman" w:eastAsia="宋体"/>
      <w:color w:val="0000FF"/>
      <w:sz w:val="21"/>
      <w:u w:val="single" w:color="0000FF"/>
      <w:vertAlign w:val="baseline"/>
      <w:lang w:val="en-US" w:eastAsia="zh-CN"/>
    </w:rPr>
  </w:style>
  <w:style w:type="character" w:customStyle="1" w:styleId="28">
    <w:name w:val="页眉 字符"/>
    <w:basedOn w:val="12"/>
    <w:link w:val="9"/>
    <w:semiHidden/>
    <w:qFormat/>
    <w:uiPriority w:val="99"/>
    <w:rPr>
      <w:rFonts w:eastAsia="仿宋_GB2312"/>
      <w:color w:val="000000"/>
      <w:sz w:val="18"/>
      <w:szCs w:val="18"/>
      <w:u w:color="000000"/>
    </w:rPr>
  </w:style>
  <w:style w:type="character" w:customStyle="1" w:styleId="29">
    <w:name w:val="页脚 字符"/>
    <w:basedOn w:val="12"/>
    <w:link w:val="8"/>
    <w:qFormat/>
    <w:uiPriority w:val="99"/>
    <w:rPr>
      <w:rFonts w:eastAsia="仿宋_GB2312"/>
      <w:color w:val="000000"/>
      <w:sz w:val="18"/>
      <w:szCs w:val="18"/>
      <w:u w:color="000000"/>
    </w:rPr>
  </w:style>
  <w:style w:type="character" w:customStyle="1" w:styleId="30">
    <w:name w:val="ca-1"/>
    <w:basedOn w:val="12"/>
    <w:qFormat/>
    <w:uiPriority w:val="0"/>
  </w:style>
  <w:style w:type="character" w:customStyle="1" w:styleId="31">
    <w:name w:val="ca-2"/>
    <w:basedOn w:val="12"/>
    <w:qFormat/>
    <w:uiPriority w:val="0"/>
  </w:style>
  <w:style w:type="paragraph" w:customStyle="1" w:styleId="32">
    <w:name w:val="p16"/>
    <w:basedOn w:val="1"/>
    <w:qFormat/>
    <w:uiPriority w:val="0"/>
    <w:pPr>
      <w:spacing w:line="240" w:lineRule="auto"/>
      <w:ind w:firstLine="0"/>
      <w:textAlignment w:val="auto"/>
    </w:pPr>
    <w:rPr>
      <w:rFonts w:ascii="Calibri" w:hAnsi="Calibri" w:eastAsia="宋体"/>
      <w:color w:val="auto"/>
      <w:sz w:val="21"/>
      <w:szCs w:val="21"/>
    </w:rPr>
  </w:style>
  <w:style w:type="character" w:customStyle="1" w:styleId="33">
    <w:name w:val="日期 字符"/>
    <w:basedOn w:val="12"/>
    <w:link w:val="6"/>
    <w:semiHidden/>
    <w:qFormat/>
    <w:uiPriority w:val="99"/>
    <w:rPr>
      <w:rFonts w:eastAsia="仿宋_GB2312"/>
      <w:color w:val="000000"/>
      <w:sz w:val="31"/>
      <w:u w:color="000000"/>
    </w:rPr>
  </w:style>
  <w:style w:type="character" w:customStyle="1" w:styleId="34">
    <w:name w:val="标题 1 字符"/>
    <w:basedOn w:val="12"/>
    <w:link w:val="2"/>
    <w:qFormat/>
    <w:uiPriority w:val="9"/>
    <w:rPr>
      <w:rFonts w:ascii="仿宋" w:hAnsi="仿宋" w:eastAsia="仿宋"/>
      <w:b/>
      <w:kern w:val="2"/>
      <w:sz w:val="32"/>
      <w:szCs w:val="28"/>
    </w:rPr>
  </w:style>
  <w:style w:type="paragraph" w:customStyle="1" w:styleId="35">
    <w:name w:val="列出段落11"/>
    <w:basedOn w:val="1"/>
    <w:qFormat/>
    <w:uiPriority w:val="0"/>
    <w:pPr>
      <w:widowControl w:val="0"/>
      <w:spacing w:line="240" w:lineRule="auto"/>
      <w:ind w:firstLine="420"/>
      <w:textAlignment w:val="auto"/>
    </w:pPr>
    <w:rPr>
      <w:rFonts w:eastAsia="宋体"/>
      <w:color w:val="auto"/>
      <w:kern w:val="2"/>
      <w:sz w:val="21"/>
      <w:szCs w:val="24"/>
    </w:rPr>
  </w:style>
  <w:style w:type="paragraph" w:customStyle="1" w:styleId="36">
    <w:name w:val="列出段落6"/>
    <w:basedOn w:val="1"/>
    <w:qFormat/>
    <w:uiPriority w:val="0"/>
    <w:pPr>
      <w:widowControl w:val="0"/>
      <w:spacing w:line="240" w:lineRule="auto"/>
      <w:ind w:firstLine="420"/>
      <w:textAlignment w:val="auto"/>
    </w:pPr>
    <w:rPr>
      <w:rFonts w:eastAsia="宋体"/>
      <w:color w:val="auto"/>
      <w:kern w:val="2"/>
      <w:sz w:val="21"/>
      <w:szCs w:val="22"/>
    </w:rPr>
  </w:style>
  <w:style w:type="character" w:customStyle="1" w:styleId="37">
    <w:name w:val="纯文本 字符"/>
    <w:basedOn w:val="12"/>
    <w:link w:val="5"/>
    <w:qFormat/>
    <w:uiPriority w:val="0"/>
    <w:rPr>
      <w:rFonts w:ascii="宋体" w:hAnsi="Courier New" w:cs="宋体"/>
      <w:kern w:val="2"/>
      <w:sz w:val="21"/>
      <w:szCs w:val="22"/>
    </w:rPr>
  </w:style>
  <w:style w:type="paragraph" w:customStyle="1" w:styleId="38">
    <w:name w:val="列出段落2"/>
    <w:basedOn w:val="1"/>
    <w:qFormat/>
    <w:uiPriority w:val="0"/>
    <w:pPr>
      <w:widowControl w:val="0"/>
      <w:spacing w:line="240" w:lineRule="auto"/>
      <w:ind w:firstLine="420"/>
      <w:textAlignment w:val="auto"/>
    </w:pPr>
    <w:rPr>
      <w:rFonts w:eastAsia="宋体"/>
      <w:color w:val="auto"/>
      <w:kern w:val="2"/>
      <w:sz w:val="21"/>
      <w:szCs w:val="22"/>
    </w:rPr>
  </w:style>
  <w:style w:type="paragraph" w:customStyle="1" w:styleId="39">
    <w:name w:val="无间隔1"/>
    <w:qFormat/>
    <w:uiPriority w:val="99"/>
    <w:pPr>
      <w:adjustRightInd w:val="0"/>
      <w:snapToGrid w:val="0"/>
      <w:spacing w:line="580" w:lineRule="exact"/>
      <w:ind w:firstLine="200" w:firstLineChars="200"/>
      <w:jc w:val="both"/>
    </w:pPr>
    <w:rPr>
      <w:rFonts w:ascii="Tahoma" w:hAnsi="Tahoma" w:eastAsia="微软雅黑" w:cs="Times New Roman"/>
      <w:sz w:val="22"/>
      <w:szCs w:val="22"/>
      <w:lang w:val="en-US" w:eastAsia="zh-CN" w:bidi="ar-SA"/>
    </w:rPr>
  </w:style>
  <w:style w:type="paragraph" w:customStyle="1" w:styleId="40">
    <w:name w:val="Char"/>
    <w:basedOn w:val="1"/>
    <w:qFormat/>
    <w:uiPriority w:val="0"/>
    <w:pPr>
      <w:widowControl w:val="0"/>
      <w:spacing w:line="240" w:lineRule="auto"/>
      <w:ind w:firstLine="0"/>
      <w:textAlignment w:val="auto"/>
    </w:pPr>
    <w:rPr>
      <w:rFonts w:eastAsia="宋体"/>
      <w:color w:val="auto"/>
      <w:kern w:val="2"/>
      <w:sz w:val="21"/>
      <w:szCs w:val="24"/>
    </w:rPr>
  </w:style>
  <w:style w:type="paragraph" w:customStyle="1" w:styleId="41">
    <w:name w:val="_Style 1"/>
    <w:basedOn w:val="1"/>
    <w:unhideWhenUsed/>
    <w:qFormat/>
    <w:uiPriority w:val="99"/>
    <w:pPr>
      <w:widowControl w:val="0"/>
      <w:spacing w:line="240" w:lineRule="auto"/>
      <w:ind w:firstLine="420"/>
      <w:textAlignment w:val="auto"/>
    </w:pPr>
    <w:rPr>
      <w:rFonts w:ascii="Calibri" w:hAnsi="Calibri" w:eastAsia="宋体"/>
      <w:color w:val="auto"/>
      <w:kern w:val="2"/>
      <w:sz w:val="21"/>
      <w:szCs w:val="24"/>
    </w:rPr>
  </w:style>
  <w:style w:type="paragraph" w:customStyle="1" w:styleId="42">
    <w:name w:val="Char Char Char Char Char Char Char"/>
    <w:basedOn w:val="1"/>
    <w:qFormat/>
    <w:uiPriority w:val="0"/>
    <w:pPr>
      <w:spacing w:after="160" w:line="360" w:lineRule="auto"/>
      <w:ind w:firstLine="0"/>
      <w:jc w:val="left"/>
      <w:textAlignment w:val="auto"/>
    </w:pPr>
    <w:rPr>
      <w:rFonts w:eastAsia="宋体"/>
      <w:color w:val="auto"/>
      <w:kern w:val="2"/>
      <w:sz w:val="21"/>
    </w:rPr>
  </w:style>
  <w:style w:type="paragraph" w:styleId="4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0F255-7444-4D13-BD80-E0BB95BA5C92}">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4</Pages>
  <Words>1156</Words>
  <Characters>1255</Characters>
  <Lines>10</Lines>
  <Paragraphs>2</Paragraphs>
  <TotalTime>40</TotalTime>
  <ScaleCrop>false</ScaleCrop>
  <LinksUpToDate>false</LinksUpToDate>
  <CharactersWithSpaces>1290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2019-08-28T08:01:00Z</dcterms:created>
  <dc:creator>lenovo</dc:creator>
  <cp:lastModifiedBy>NTKO</cp:lastModifiedBy>
  <cp:lastPrinted>2022-10-18T05:07:00Z</cp:lastPrinted>
  <dcterms:modified xsi:type="dcterms:W3CDTF">2023-11-23T01:15:56Z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669AC63FBB074C05AA5575070F01A221_13</vt:lpwstr>
  </property>
</Properties>
</file>